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elseiteHaupttitel"/>
        <w:spacing w:line="276" w:lineRule="auto"/>
        <w:rPr>
          <w:rFonts w:ascii="Arial" w:hAnsi="Arial" w:cs="Arial"/>
          <w:spacing w:val="0"/>
          <w:w w:val="95"/>
          <w:position w:val="0"/>
          <w:sz w:val="60"/>
          <w:szCs w:val="60"/>
          <w:lang w:val="fr-CH"/>
        </w:rPr>
      </w:pPr>
      <w:r>
        <w:rPr>
          <w:rFonts w:ascii="Arial" w:hAnsi="Arial" w:cs="Arial"/>
          <w:spacing w:val="0"/>
          <w:w w:val="95"/>
          <w:position w:val="0"/>
          <w:sz w:val="60"/>
          <w:szCs w:val="60"/>
          <w:lang w:val="fr-CH"/>
        </w:rPr>
        <w:t>Liste de contrôle pour la certification</w:t>
      </w:r>
    </w:p>
    <w:p>
      <w:pPr>
        <w:pStyle w:val="TitelseiteUntertitel"/>
        <w:spacing w:line="276" w:lineRule="auto"/>
        <w:rPr>
          <w:rFonts w:ascii="Arial" w:hAnsi="Arial" w:cs="Arial"/>
          <w:lang w:val="fr-CH"/>
        </w:rPr>
      </w:pPr>
    </w:p>
    <w:p>
      <w:pPr>
        <w:pStyle w:val="TitelseiteUntertitel"/>
        <w:spacing w:line="276" w:lineRule="auto"/>
        <w:rPr>
          <w:rFonts w:ascii="Arial" w:hAnsi="Arial" w:cs="Arial"/>
          <w:b w:val="0"/>
          <w:lang w:val="fr-CH"/>
        </w:rPr>
      </w:pPr>
      <w:r>
        <w:rPr>
          <w:rFonts w:ascii="Arial" w:hAnsi="Arial" w:cs="Arial"/>
          <w:b w:val="0"/>
          <w:lang w:val="fr-CH"/>
        </w:rPr>
        <w:t>La présente liste de contrôle doit servir aux hôpitaux/institutions pour se préparer à la certification REKOLE</w:t>
      </w:r>
      <w:r>
        <w:rPr>
          <w:rFonts w:ascii="Arial" w:hAnsi="Arial" w:cs="Arial"/>
          <w:b w:val="0"/>
          <w:vertAlign w:val="superscript"/>
          <w:lang w:val="fr-CH"/>
        </w:rPr>
        <w:t>®</w:t>
      </w:r>
      <w:r>
        <w:rPr>
          <w:rFonts w:ascii="Arial" w:hAnsi="Arial" w:cs="Arial"/>
          <w:b w:val="0"/>
          <w:lang w:val="fr-CH"/>
        </w:rPr>
        <w:t>.</w:t>
      </w:r>
    </w:p>
    <w:p>
      <w:pPr>
        <w:spacing w:line="276" w:lineRule="auto"/>
        <w:rPr>
          <w:rFonts w:cs="Arial"/>
          <w:lang w:val="fr-CH"/>
        </w:rPr>
      </w:pPr>
    </w:p>
    <w:p>
      <w:pPr>
        <w:spacing w:line="276" w:lineRule="auto"/>
        <w:jc w:val="right"/>
        <w:rPr>
          <w:rFonts w:cs="Arial"/>
          <w:sz w:val="18"/>
          <w:szCs w:val="18"/>
          <w:lang w:val="fr-CH"/>
        </w:rPr>
      </w:pPr>
      <w:proofErr w:type="gramStart"/>
      <w:r>
        <w:rPr>
          <w:rFonts w:cs="Arial"/>
          <w:sz w:val="18"/>
          <w:szCs w:val="18"/>
          <w:lang w:val="fr-CH"/>
        </w:rPr>
        <w:t>version</w:t>
      </w:r>
      <w:proofErr w:type="gramEnd"/>
      <w:r>
        <w:rPr>
          <w:rFonts w:cs="Arial"/>
          <w:sz w:val="18"/>
          <w:szCs w:val="18"/>
          <w:lang w:val="fr-CH"/>
        </w:rPr>
        <w:t xml:space="preserve"> </w:t>
      </w:r>
      <w:r>
        <w:rPr>
          <w:rFonts w:cs="Arial"/>
          <w:sz w:val="18"/>
          <w:szCs w:val="18"/>
          <w:lang w:val="fr-CH"/>
        </w:rPr>
        <w:t>3.</w:t>
      </w:r>
      <w:r>
        <w:rPr>
          <w:rFonts w:cs="Arial"/>
          <w:sz w:val="18"/>
          <w:szCs w:val="18"/>
          <w:lang w:val="fr-CH"/>
        </w:rPr>
        <w:t>5</w:t>
      </w:r>
    </w:p>
    <w:tbl>
      <w:tblPr>
        <w:tblW w:w="9356" w:type="dxa"/>
        <w:tblInd w:w="108" w:type="dxa"/>
        <w:tblLayout w:type="fixed"/>
        <w:tblCellMar>
          <w:left w:w="0" w:type="dxa"/>
          <w:right w:w="0" w:type="dxa"/>
        </w:tblCellMar>
        <w:tblLook w:val="0000" w:firstRow="0" w:lastRow="0" w:firstColumn="0" w:lastColumn="0" w:noHBand="0" w:noVBand="0"/>
      </w:tblPr>
      <w:tblGrid>
        <w:gridCol w:w="675"/>
        <w:gridCol w:w="6401"/>
        <w:gridCol w:w="2280"/>
      </w:tblGrid>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pPr>
              <w:pStyle w:val="tabelletitel"/>
              <w:spacing w:line="276" w:lineRule="auto"/>
              <w:rPr>
                <w:rFonts w:ascii="Arial" w:hAnsi="Arial" w:cs="Arial"/>
                <w:lang w:val="fr-CH"/>
              </w:rPr>
            </w:pPr>
            <w:r>
              <w:rPr>
                <w:rStyle w:val="ExpertLight"/>
                <w:rFonts w:ascii="Arial" w:hAnsi="Arial" w:cs="Arial"/>
                <w:lang w:val="fr-CH"/>
              </w:rPr>
              <w:t>1</w:t>
            </w:r>
          </w:p>
        </w:tc>
        <w:tc>
          <w:tcPr>
            <w:tcW w:w="6401"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19" w:type="dxa"/>
            </w:tcMar>
          </w:tcPr>
          <w:p>
            <w:pPr>
              <w:pStyle w:val="tabelletitel"/>
              <w:spacing w:line="276" w:lineRule="auto"/>
              <w:rPr>
                <w:rFonts w:ascii="Arial" w:hAnsi="Arial" w:cs="Arial"/>
                <w:lang w:val="fr-CH"/>
              </w:rPr>
            </w:pPr>
            <w:r>
              <w:rPr>
                <w:rFonts w:ascii="Arial" w:hAnsi="Arial" w:cs="Arial"/>
                <w:lang w:val="fr-CH"/>
              </w:rPr>
              <w:t>Exigences générales</w:t>
            </w:r>
          </w:p>
        </w:tc>
        <w:tc>
          <w:tcPr>
            <w:tcW w:w="2280"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pPr>
              <w:pStyle w:val="tabelletitel"/>
              <w:spacing w:line="276" w:lineRule="auto"/>
              <w:rPr>
                <w:rFonts w:ascii="Arial" w:hAnsi="Arial" w:cs="Arial"/>
                <w:lang w:val="fr-CH"/>
              </w:rPr>
            </w:pPr>
            <w:r>
              <w:rPr>
                <w:rFonts w:ascii="Arial" w:hAnsi="Arial" w:cs="Arial"/>
                <w:lang w:val="fr-CH"/>
              </w:rPr>
              <w:t>Remarques</w:t>
            </w:r>
          </w:p>
        </w:tc>
      </w:tr>
      <w:tr>
        <w:trPr>
          <w:trHeight w:val="106"/>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1.1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Objectif/ancrage stratégique</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355"/>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color w:val="auto"/>
                <w:lang w:val="fr-CH"/>
              </w:rPr>
              <w:id w:val="-310630052"/>
              <w14:checkbox>
                <w14:checked w14:val="0"/>
                <w14:checkedState w14:val="2612" w14:font="MS Gothic"/>
                <w14:uncheckedState w14:val="2610" w14:font="MS Gothic"/>
              </w14:checkbox>
            </w:sdtPr>
            <w:sdtEndPr/>
            <w:sdtContent>
              <w:p>
                <w:pPr>
                  <w:pStyle w:val="tabellegt"/>
                  <w:spacing w:line="276" w:lineRule="auto"/>
                  <w:rPr>
                    <w:rFonts w:ascii="Arial" w:hAnsi="Arial" w:cs="Arial"/>
                    <w:color w:val="auto"/>
                    <w:lang w:val="fr-CH"/>
                  </w:rPr>
                </w:pPr>
                <w:r>
                  <w:rPr>
                    <w:rFonts w:ascii="Arial" w:hAnsi="Arial" w:cs="Arial" w:hint="eastAsia"/>
                    <w:color w:val="auto"/>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color w:val="auto"/>
                <w:lang w:val="fr-CH"/>
              </w:rPr>
            </w:pPr>
            <w:r>
              <w:rPr>
                <w:rFonts w:ascii="Arial" w:hAnsi="Arial" w:cs="Arial"/>
                <w:color w:val="auto"/>
                <w:lang w:val="fr-CH"/>
              </w:rPr>
              <w:t>Existence d’une décision stratégique de la direction de l’hôpital au sujet de l’introduction et du développement de la comptabilité analytique, ainsi que du système TI</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005596"/>
                <w:sz w:val="18"/>
                <w:szCs w:val="18"/>
                <w:lang w:val="fr-CH"/>
              </w:rPr>
            </w:pPr>
          </w:p>
        </w:tc>
      </w:tr>
      <w:tr>
        <w:trPr>
          <w:trHeight w:val="127"/>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1.2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Organisation structurelle et fonctionnelle</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383515058"/>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Descriptions de poste ou diagrammes de fonction des responsables de la comptabilité analytique, ainsi que de leurs adjoints. Les tâches, compétences et attributions du point de vue de la comptabilité analytique doivent y figurer.</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840228072"/>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Documentation des formations internes, évaluation des besoins en formation, etc.</w:t>
            </w:r>
            <w:r>
              <w:rPr>
                <w:rFonts w:ascii="Arial" w:hAnsi="Arial" w:cs="Arial"/>
                <w:lang w:val="fr-CH"/>
              </w:rPr>
              <w:t xml:space="preserve"> du personnel impliqué da</w:t>
            </w:r>
            <w:r>
              <w:rPr>
                <w:rFonts w:ascii="Arial" w:hAnsi="Arial" w:cs="Arial"/>
                <w:lang w:val="fr-CH"/>
              </w:rPr>
              <w:t>ns la comptabilité analytique/</w:t>
            </w:r>
            <w:r>
              <w:rPr>
                <w:rFonts w:ascii="Arial" w:hAnsi="Arial" w:cs="Arial"/>
                <w:lang w:val="fr-CH"/>
              </w:rPr>
              <w:t xml:space="preserve">dans le </w:t>
            </w:r>
            <w:r>
              <w:rPr>
                <w:rFonts w:ascii="Arial" w:hAnsi="Arial" w:cs="Arial"/>
                <w:lang w:val="fr-CH"/>
              </w:rPr>
              <w:t xml:space="preserve">contexte </w:t>
            </w:r>
            <w:r>
              <w:rPr>
                <w:rFonts w:ascii="Arial" w:hAnsi="Arial" w:cs="Arial"/>
                <w:lang w:val="fr-CH"/>
              </w:rPr>
              <w:t>REKOLE</w:t>
            </w:r>
            <w:r>
              <w:rPr>
                <w:rFonts w:ascii="Arial" w:hAnsi="Arial" w:cs="Arial"/>
                <w:vertAlign w:val="superscript"/>
                <w:lang w:val="fr-CH"/>
              </w:rPr>
              <w:t>®</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970192058"/>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Documentation des contrôles et principales étapes de travail permettant d’assurer la comptabilité analytique</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17"/>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1.3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Systèmes d’information et d’organisation TI</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Il est possible de renoncer aux enregistrements et à la documentation ci-après dès lors que, au cours des trois années écoulées, un audit TI/une revue TI/un contrôle TI a été effectué</w:t>
            </w:r>
            <w:r>
              <w:rPr>
                <w:rFonts w:ascii="Arial" w:hAnsi="Arial" w:cs="Arial"/>
                <w:lang w:val="fr-CH"/>
              </w:rPr>
              <w:t>(</w:t>
            </w:r>
            <w:r>
              <w:rPr>
                <w:rFonts w:ascii="Arial" w:hAnsi="Arial" w:cs="Arial"/>
                <w:lang w:val="fr-CH"/>
              </w:rPr>
              <w:t>e</w:t>
            </w:r>
            <w:r>
              <w:rPr>
                <w:rFonts w:ascii="Arial" w:hAnsi="Arial" w:cs="Arial"/>
                <w:lang w:val="fr-CH"/>
              </w:rPr>
              <w:t>)</w:t>
            </w:r>
            <w:r>
              <w:rPr>
                <w:rFonts w:ascii="Arial" w:hAnsi="Arial" w:cs="Arial"/>
                <w:lang w:val="fr-CH"/>
              </w:rPr>
              <w:t xml:space="preserve">, lors duquel ou de laquelle </w:t>
            </w:r>
            <w:r>
              <w:rPr>
                <w:rFonts w:ascii="Arial" w:hAnsi="Arial" w:cs="Arial"/>
                <w:lang w:val="fr-CH"/>
              </w:rPr>
              <w:t xml:space="preserve">les TI concernant </w:t>
            </w:r>
            <w:r>
              <w:rPr>
                <w:rFonts w:ascii="Arial" w:hAnsi="Arial" w:cs="Arial"/>
                <w:lang w:val="fr-CH"/>
              </w:rPr>
              <w:t xml:space="preserve">la comptabilité analytique </w:t>
            </w:r>
            <w:r>
              <w:rPr>
                <w:rFonts w:ascii="Arial" w:hAnsi="Arial" w:cs="Arial"/>
                <w:lang w:val="fr-CH"/>
              </w:rPr>
              <w:t>ont</w:t>
            </w:r>
            <w:r>
              <w:rPr>
                <w:rFonts w:ascii="Arial" w:hAnsi="Arial" w:cs="Arial"/>
                <w:lang w:val="fr-CH"/>
              </w:rPr>
              <w:t xml:space="preserve"> </w:t>
            </w:r>
            <w:r>
              <w:rPr>
                <w:rFonts w:ascii="Arial" w:hAnsi="Arial" w:cs="Arial"/>
                <w:lang w:val="fr-CH"/>
              </w:rPr>
              <w:t>été vérifiée</w:t>
            </w:r>
            <w:r>
              <w:rPr>
                <w:rFonts w:ascii="Arial" w:hAnsi="Arial" w:cs="Arial"/>
                <w:lang w:val="fr-CH"/>
              </w:rPr>
              <w:t>s</w:t>
            </w:r>
            <w:r>
              <w:rPr>
                <w:rFonts w:ascii="Arial" w:hAnsi="Arial" w:cs="Arial"/>
                <w:lang w:val="fr-CH"/>
              </w:rPr>
              <w:t xml:space="preserve"> et qu’un document final correspondant est disponible avec une évaluation positive de principe. Présentation du document final</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782116012"/>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Existence d’enregistrements, documentations sur les principes, standards, déroulements de procédure et contrôles en relation avec les activités TI (entre autre</w:t>
            </w:r>
            <w:r>
              <w:rPr>
                <w:rFonts w:ascii="Arial" w:hAnsi="Arial" w:cs="Arial"/>
                <w:lang w:val="fr-CH"/>
              </w:rPr>
              <w:t>s</w:t>
            </w:r>
            <w:r>
              <w:rPr>
                <w:rFonts w:ascii="Arial" w:hAnsi="Arial" w:cs="Arial"/>
                <w:lang w:val="fr-CH"/>
              </w:rPr>
              <w:t xml:space="preserve"> sécurité des données et </w:t>
            </w:r>
            <w:r>
              <w:rPr>
                <w:rFonts w:ascii="Arial" w:hAnsi="Arial" w:cs="Arial"/>
                <w:lang w:val="fr-CH"/>
              </w:rPr>
              <w:t xml:space="preserve">des </w:t>
            </w:r>
            <w:r>
              <w:rPr>
                <w:rFonts w:ascii="Arial" w:hAnsi="Arial" w:cs="Arial"/>
                <w:lang w:val="fr-CH"/>
              </w:rPr>
              <w:t>programmes, développement des applications et procédure de validation/</w:t>
            </w:r>
            <w:r>
              <w:rPr>
                <w:rFonts w:ascii="Arial" w:hAnsi="Arial" w:cs="Arial"/>
                <w:lang w:val="fr-CH"/>
              </w:rPr>
              <w:t>C</w:t>
            </w:r>
            <w:r>
              <w:rPr>
                <w:rFonts w:ascii="Arial" w:hAnsi="Arial" w:cs="Arial"/>
                <w:lang w:val="fr-CH"/>
              </w:rPr>
              <w:t xml:space="preserve">hange </w:t>
            </w:r>
            <w:r>
              <w:rPr>
                <w:rFonts w:ascii="Arial" w:hAnsi="Arial" w:cs="Arial"/>
                <w:lang w:val="fr-CH"/>
              </w:rPr>
              <w:t>M</w:t>
            </w:r>
            <w:r>
              <w:rPr>
                <w:rFonts w:ascii="Arial" w:hAnsi="Arial" w:cs="Arial"/>
                <w:lang w:val="fr-CH"/>
              </w:rPr>
              <w:t>anagement</w:t>
            </w:r>
            <w:r>
              <w:rPr>
                <w:rFonts w:ascii="Arial" w:hAnsi="Arial" w:cs="Arial"/>
                <w:lang w:val="fr-CH"/>
              </w:rPr>
              <w:t>, exploitation et maintenance TI)</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844403104"/>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Existence d’enregistrements, documentations sur les contrôles et procédures de sécurité qui restreignent l’accès aux données et programmes aux seules personnes autorisées</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907918423"/>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Existence d’enregistrements, documentations sur les procédures et stratégies de sécurité physiques afin de minimiser le risque d’interruption d’exploitation (incendie, inondations, panne d’électricité etc.)</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5472066"/>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Instruction sur la sauvegarde des stocks de données</w:t>
            </w:r>
          </w:p>
        </w:tc>
        <w:tc>
          <w:tcPr>
            <w:tcW w:w="228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bl>
    <w:p>
      <w:pPr>
        <w:spacing w:line="276" w:lineRule="auto"/>
        <w:rPr>
          <w:lang w:val="fr-CH"/>
        </w:rPr>
      </w:pPr>
      <w:r>
        <w:rPr>
          <w:b/>
          <w:bCs/>
          <w:lang w:val="fr-CH"/>
        </w:rPr>
        <w:br w:type="page"/>
      </w:r>
    </w:p>
    <w:tbl>
      <w:tblPr>
        <w:tblW w:w="9798" w:type="dxa"/>
        <w:tblInd w:w="108" w:type="dxa"/>
        <w:tblLayout w:type="fixed"/>
        <w:tblCellMar>
          <w:left w:w="0" w:type="dxa"/>
          <w:right w:w="0" w:type="dxa"/>
        </w:tblCellMar>
        <w:tblLook w:val="0000" w:firstRow="0" w:lastRow="0" w:firstColumn="0" w:lastColumn="0" w:noHBand="0" w:noVBand="0"/>
      </w:tblPr>
      <w:tblGrid>
        <w:gridCol w:w="675"/>
        <w:gridCol w:w="6401"/>
        <w:gridCol w:w="2722"/>
      </w:tblGrid>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pPr>
              <w:pStyle w:val="tabelletitel"/>
              <w:spacing w:line="276" w:lineRule="auto"/>
              <w:rPr>
                <w:rFonts w:ascii="Arial" w:hAnsi="Arial" w:cs="Arial"/>
                <w:lang w:val="fr-CH"/>
              </w:rPr>
            </w:pPr>
            <w:r>
              <w:rPr>
                <w:rStyle w:val="ExpertLight"/>
                <w:rFonts w:ascii="Arial" w:hAnsi="Arial" w:cs="Arial"/>
                <w:lang w:val="fr-CH"/>
              </w:rPr>
              <w:lastRenderedPageBreak/>
              <w:t>2</w:t>
            </w:r>
          </w:p>
        </w:tc>
        <w:tc>
          <w:tcPr>
            <w:tcW w:w="6401"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19" w:type="dxa"/>
            </w:tcMar>
          </w:tcPr>
          <w:p>
            <w:pPr>
              <w:pStyle w:val="tabelletitel"/>
              <w:spacing w:line="276" w:lineRule="auto"/>
              <w:rPr>
                <w:rFonts w:ascii="Arial" w:hAnsi="Arial" w:cs="Arial"/>
                <w:lang w:val="fr-CH"/>
              </w:rPr>
            </w:pPr>
            <w:r>
              <w:rPr>
                <w:rFonts w:ascii="Arial" w:hAnsi="Arial" w:cs="Arial"/>
                <w:lang w:val="fr-CH"/>
              </w:rPr>
              <w:t>Exigences relatives à la documentation</w:t>
            </w:r>
          </w:p>
        </w:tc>
        <w:tc>
          <w:tcPr>
            <w:tcW w:w="2722"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pPr>
              <w:pStyle w:val="tabelletitel"/>
              <w:spacing w:line="276" w:lineRule="auto"/>
              <w:rPr>
                <w:rFonts w:ascii="Arial" w:hAnsi="Arial" w:cs="Arial"/>
                <w:lang w:val="fr-CH"/>
              </w:rPr>
            </w:pPr>
            <w:r>
              <w:rPr>
                <w:rFonts w:ascii="Arial" w:hAnsi="Arial" w:cs="Arial"/>
                <w:lang w:val="fr-CH"/>
              </w:rPr>
              <w:t>Remarques</w:t>
            </w: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2.1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Gestion des documents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133"/>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412278987"/>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Documentation de la comptabilité analytique et de la structure y afférente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367831616"/>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Enregistrement et documentation de l’adaptation des objets de la comptabilité analytique (objets COAN)</w:t>
            </w:r>
          </w:p>
          <w:p>
            <w:pPr>
              <w:pStyle w:val="tabelleliste"/>
              <w:numPr>
                <w:ilvl w:val="0"/>
                <w:numId w:val="44"/>
              </w:numPr>
              <w:spacing w:line="276" w:lineRule="auto"/>
              <w:ind w:left="351"/>
              <w:rPr>
                <w:rFonts w:ascii="Arial" w:hAnsi="Arial" w:cs="Arial"/>
                <w:lang w:val="fr-CH"/>
              </w:rPr>
            </w:pPr>
            <w:r>
              <w:rPr>
                <w:rFonts w:ascii="Arial" w:hAnsi="Arial" w:cs="Arial"/>
                <w:lang w:val="fr-CH"/>
              </w:rPr>
              <w:t>Charges par nature</w:t>
            </w:r>
          </w:p>
          <w:p>
            <w:pPr>
              <w:pStyle w:val="tabelleliste"/>
              <w:numPr>
                <w:ilvl w:val="0"/>
                <w:numId w:val="44"/>
              </w:numPr>
              <w:spacing w:line="276" w:lineRule="auto"/>
              <w:ind w:left="351"/>
              <w:rPr>
                <w:rFonts w:ascii="Arial" w:hAnsi="Arial" w:cs="Arial"/>
                <w:lang w:val="fr-CH"/>
              </w:rPr>
            </w:pPr>
            <w:r>
              <w:rPr>
                <w:rFonts w:ascii="Arial" w:hAnsi="Arial" w:cs="Arial"/>
                <w:lang w:val="fr-CH"/>
              </w:rPr>
              <w:t>Centres de charges (centres de charges fournisseurs de services, centres de charges fournisseurs de prestations, exploitations annexes)</w:t>
            </w:r>
          </w:p>
          <w:p>
            <w:pPr>
              <w:pStyle w:val="tabelleliste"/>
              <w:numPr>
                <w:ilvl w:val="0"/>
                <w:numId w:val="44"/>
              </w:numPr>
              <w:spacing w:line="276" w:lineRule="auto"/>
              <w:ind w:left="351"/>
              <w:rPr>
                <w:rFonts w:ascii="Arial" w:hAnsi="Arial" w:cs="Arial"/>
                <w:lang w:val="fr-CH"/>
              </w:rPr>
            </w:pPr>
            <w:r>
              <w:rPr>
                <w:rFonts w:ascii="Arial" w:hAnsi="Arial" w:cs="Arial"/>
                <w:lang w:val="fr-CH"/>
              </w:rPr>
              <w:t>Clés de répartition/Standards of performance</w:t>
            </w:r>
          </w:p>
          <w:p>
            <w:pPr>
              <w:pStyle w:val="tabelleliste"/>
              <w:numPr>
                <w:ilvl w:val="0"/>
                <w:numId w:val="44"/>
              </w:numPr>
              <w:spacing w:line="276" w:lineRule="auto"/>
              <w:ind w:left="351"/>
              <w:rPr>
                <w:rFonts w:ascii="Arial" w:hAnsi="Arial" w:cs="Arial"/>
                <w:lang w:val="fr-CH"/>
              </w:rPr>
            </w:pPr>
            <w:r>
              <w:rPr>
                <w:rFonts w:ascii="Arial" w:hAnsi="Arial" w:cs="Arial"/>
                <w:lang w:val="fr-CH"/>
              </w:rPr>
              <w:t>Unités d’</w:t>
            </w:r>
            <w:r>
              <w:rPr>
                <w:rFonts w:ascii="Arial" w:hAnsi="Arial" w:cs="Arial"/>
                <w:lang w:val="fr-CH"/>
              </w:rPr>
              <w:t>œuvre</w:t>
            </w:r>
          </w:p>
          <w:p>
            <w:pPr>
              <w:pStyle w:val="tabelleliste"/>
              <w:numPr>
                <w:ilvl w:val="0"/>
                <w:numId w:val="44"/>
              </w:numPr>
              <w:spacing w:line="276" w:lineRule="auto"/>
              <w:ind w:left="351"/>
              <w:rPr>
                <w:rFonts w:ascii="Arial" w:hAnsi="Arial" w:cs="Arial"/>
                <w:lang w:val="fr-CH"/>
              </w:rPr>
            </w:pPr>
            <w:r>
              <w:rPr>
                <w:rFonts w:ascii="Arial" w:hAnsi="Arial" w:cs="Arial"/>
                <w:lang w:val="fr-CH"/>
              </w:rPr>
              <w:t xml:space="preserve">Unités finales d’imputation (cas administratif, </w:t>
            </w:r>
            <w:r>
              <w:rPr>
                <w:rFonts w:ascii="Arial" w:hAnsi="Arial" w:cs="Arial"/>
                <w:lang w:val="fr-CH"/>
              </w:rPr>
              <w:t>mandat</w:t>
            </w:r>
            <w:r>
              <w:rPr>
                <w:rFonts w:ascii="Arial"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2.2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Gestion des enregistrements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1169"/>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675224051"/>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 xml:space="preserve">Réglementations et procédures sur la maîtrise des enregistrements </w:t>
            </w:r>
            <w:proofErr w:type="gramStart"/>
            <w:r>
              <w:rPr>
                <w:rFonts w:ascii="Arial" w:hAnsi="Arial" w:cs="Arial"/>
                <w:lang w:val="fr-CH"/>
              </w:rPr>
              <w:t>comprenant:</w:t>
            </w:r>
            <w:proofErr w:type="gramEnd"/>
          </w:p>
          <w:p>
            <w:pPr>
              <w:pStyle w:val="tabelleliste"/>
              <w:numPr>
                <w:ilvl w:val="0"/>
                <w:numId w:val="45"/>
              </w:numPr>
              <w:spacing w:line="276" w:lineRule="auto"/>
              <w:ind w:left="351"/>
              <w:rPr>
                <w:rFonts w:ascii="Arial" w:hAnsi="Arial" w:cs="Arial"/>
                <w:lang w:val="fr-CH"/>
              </w:rPr>
            </w:pPr>
            <w:proofErr w:type="gramStart"/>
            <w:r>
              <w:rPr>
                <w:rFonts w:ascii="Arial" w:hAnsi="Arial" w:cs="Arial"/>
                <w:lang w:val="fr-CH"/>
              </w:rPr>
              <w:t>l’obligation</w:t>
            </w:r>
            <w:proofErr w:type="gramEnd"/>
            <w:r>
              <w:rPr>
                <w:rFonts w:ascii="Arial" w:hAnsi="Arial" w:cs="Arial"/>
                <w:lang w:val="fr-CH"/>
              </w:rPr>
              <w:t xml:space="preserve"> de conserver, le lieu et la durée de conservation</w:t>
            </w:r>
          </w:p>
          <w:p>
            <w:pPr>
              <w:pStyle w:val="tabelleliste"/>
              <w:numPr>
                <w:ilvl w:val="0"/>
                <w:numId w:val="45"/>
              </w:numPr>
              <w:spacing w:line="276" w:lineRule="auto"/>
              <w:ind w:left="351"/>
              <w:rPr>
                <w:rFonts w:ascii="Arial" w:hAnsi="Arial" w:cs="Arial"/>
                <w:lang w:val="fr-CH"/>
              </w:rPr>
            </w:pPr>
            <w:proofErr w:type="gramStart"/>
            <w:r>
              <w:rPr>
                <w:rFonts w:ascii="Arial" w:hAnsi="Arial" w:cs="Arial"/>
                <w:lang w:val="fr-CH"/>
              </w:rPr>
              <w:t>l’efficacité</w:t>
            </w:r>
            <w:proofErr w:type="gramEnd"/>
            <w:r>
              <w:rPr>
                <w:rFonts w:ascii="Arial" w:hAnsi="Arial" w:cs="Arial"/>
                <w:lang w:val="fr-CH"/>
              </w:rPr>
              <w:t xml:space="preserve"> de la maîtrise des enregistrements</w:t>
            </w:r>
          </w:p>
          <w:p>
            <w:pPr>
              <w:pStyle w:val="tabelleliste"/>
              <w:numPr>
                <w:ilvl w:val="0"/>
                <w:numId w:val="45"/>
              </w:numPr>
              <w:spacing w:line="276" w:lineRule="auto"/>
              <w:ind w:left="351"/>
              <w:rPr>
                <w:rFonts w:ascii="Arial" w:hAnsi="Arial" w:cs="Arial"/>
                <w:lang w:val="fr-CH"/>
              </w:rPr>
            </w:pPr>
            <w:proofErr w:type="gramStart"/>
            <w:r>
              <w:rPr>
                <w:rFonts w:ascii="Arial" w:hAnsi="Arial" w:cs="Arial"/>
                <w:lang w:val="fr-CH"/>
              </w:rPr>
              <w:t>les</w:t>
            </w:r>
            <w:proofErr w:type="gramEnd"/>
            <w:r>
              <w:rPr>
                <w:rFonts w:ascii="Arial" w:hAnsi="Arial" w:cs="Arial"/>
                <w:lang w:val="fr-CH"/>
              </w:rPr>
              <w:t xml:space="preserve"> mécanismes qui permettent de communiquer les propositions d’amélioration des collaborateurs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pPr>
              <w:pStyle w:val="tabelletitel"/>
              <w:spacing w:line="276" w:lineRule="auto"/>
              <w:rPr>
                <w:rFonts w:ascii="Arial" w:hAnsi="Arial" w:cs="Arial"/>
                <w:lang w:val="fr-CH"/>
              </w:rPr>
            </w:pPr>
            <w:r>
              <w:rPr>
                <w:rStyle w:val="ExpertLight"/>
                <w:rFonts w:ascii="Arial" w:hAnsi="Arial" w:cs="Arial"/>
                <w:lang w:val="fr-CH"/>
              </w:rPr>
              <w:t>3</w:t>
            </w:r>
          </w:p>
        </w:tc>
        <w:tc>
          <w:tcPr>
            <w:tcW w:w="6401"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19" w:type="dxa"/>
            </w:tcMar>
          </w:tcPr>
          <w:p>
            <w:pPr>
              <w:pStyle w:val="tabelletitel"/>
              <w:spacing w:line="276" w:lineRule="auto"/>
              <w:rPr>
                <w:rFonts w:ascii="Arial" w:hAnsi="Arial" w:cs="Arial"/>
                <w:lang w:val="fr-CH"/>
              </w:rPr>
            </w:pPr>
            <w:r>
              <w:rPr>
                <w:rFonts w:ascii="Arial" w:hAnsi="Arial" w:cs="Arial"/>
                <w:lang w:val="fr-CH"/>
              </w:rPr>
              <w:t>Gestion des ressources</w:t>
            </w:r>
          </w:p>
        </w:tc>
        <w:tc>
          <w:tcPr>
            <w:tcW w:w="2722"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pPr>
              <w:pStyle w:val="tabelletitel"/>
              <w:spacing w:line="276" w:lineRule="auto"/>
              <w:rPr>
                <w:rFonts w:ascii="Arial" w:hAnsi="Arial" w:cs="Arial"/>
                <w:lang w:val="fr-CH"/>
              </w:rPr>
            </w:pPr>
            <w:r>
              <w:rPr>
                <w:rFonts w:ascii="Arial" w:hAnsi="Arial" w:cs="Arial"/>
                <w:lang w:val="fr-CH"/>
              </w:rPr>
              <w:t>Remarques</w:t>
            </w:r>
          </w:p>
        </w:tc>
      </w:tr>
      <w:tr>
        <w:trPr>
          <w:trHeight w:val="93"/>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3.1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Audits REKOLE</w:t>
            </w:r>
            <w:r>
              <w:rPr>
                <w:rStyle w:val="bold"/>
                <w:rFonts w:ascii="Arial" w:hAnsi="Arial" w:cs="Arial"/>
                <w:b/>
                <w:bCs/>
                <w:vertAlign w:val="superscript"/>
                <w:lang w:val="fr-CH"/>
              </w:rPr>
              <w:t>®</w:t>
            </w:r>
            <w:r>
              <w:rPr>
                <w:rStyle w:val="bold"/>
                <w:rFonts w:ascii="Arial" w:hAnsi="Arial" w:cs="Arial"/>
                <w:b/>
                <w:bCs/>
                <w:lang w:val="fr-CH"/>
              </w:rPr>
              <w:t xml:space="preserve"> internes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2149020"/>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Documentation sur la procédure, la réalisation et les résultats des audits internes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114"/>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3.2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Mesures, analyse et amélioration</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903410630"/>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D</w:t>
            </w:r>
            <w:r>
              <w:rPr>
                <w:rFonts w:ascii="Arial" w:hAnsi="Arial" w:cs="Arial"/>
                <w:lang w:val="fr-CH"/>
              </w:rPr>
              <w:t>es d</w:t>
            </w:r>
            <w:r>
              <w:rPr>
                <w:rFonts w:ascii="Arial" w:hAnsi="Arial" w:cs="Arial"/>
                <w:lang w:val="fr-CH"/>
              </w:rPr>
              <w:t>irectives sur les procédures de</w:t>
            </w:r>
          </w:p>
          <w:p>
            <w:pPr>
              <w:pStyle w:val="tabelleliste"/>
              <w:numPr>
                <w:ilvl w:val="0"/>
                <w:numId w:val="42"/>
              </w:numPr>
              <w:spacing w:line="276" w:lineRule="auto"/>
              <w:ind w:left="351"/>
              <w:rPr>
                <w:rFonts w:ascii="Arial" w:hAnsi="Arial" w:cs="Arial"/>
                <w:lang w:val="fr-CH"/>
              </w:rPr>
            </w:pPr>
            <w:proofErr w:type="gramStart"/>
            <w:r>
              <w:rPr>
                <w:rFonts w:ascii="Arial" w:hAnsi="Arial" w:cs="Arial"/>
                <w:lang w:val="fr-CH"/>
              </w:rPr>
              <w:t>détection</w:t>
            </w:r>
            <w:proofErr w:type="gramEnd"/>
            <w:r>
              <w:rPr>
                <w:rFonts w:ascii="Arial" w:hAnsi="Arial" w:cs="Arial"/>
                <w:lang w:val="fr-CH"/>
              </w:rPr>
              <w:t xml:space="preserve"> des non-conformités</w:t>
            </w:r>
          </w:p>
          <w:p>
            <w:pPr>
              <w:pStyle w:val="tabelleliste"/>
              <w:numPr>
                <w:ilvl w:val="0"/>
                <w:numId w:val="42"/>
              </w:numPr>
              <w:spacing w:line="276" w:lineRule="auto"/>
              <w:ind w:left="351"/>
              <w:rPr>
                <w:rFonts w:ascii="Arial" w:hAnsi="Arial" w:cs="Arial"/>
                <w:lang w:val="fr-CH"/>
              </w:rPr>
            </w:pPr>
            <w:proofErr w:type="gramStart"/>
            <w:r>
              <w:rPr>
                <w:rFonts w:ascii="Arial" w:hAnsi="Arial" w:cs="Arial"/>
                <w:lang w:val="fr-CH"/>
              </w:rPr>
              <w:t>détermination</w:t>
            </w:r>
            <w:proofErr w:type="gramEnd"/>
            <w:r>
              <w:rPr>
                <w:rFonts w:ascii="Arial" w:hAnsi="Arial" w:cs="Arial"/>
                <w:lang w:val="fr-CH"/>
              </w:rPr>
              <w:t xml:space="preserve"> des causes</w:t>
            </w:r>
          </w:p>
          <w:p>
            <w:pPr>
              <w:pStyle w:val="tabelleliste"/>
              <w:numPr>
                <w:ilvl w:val="0"/>
                <w:numId w:val="42"/>
              </w:numPr>
              <w:spacing w:line="276" w:lineRule="auto"/>
              <w:ind w:left="351"/>
              <w:rPr>
                <w:rFonts w:ascii="Arial" w:hAnsi="Arial" w:cs="Arial"/>
                <w:lang w:val="fr-CH"/>
              </w:rPr>
            </w:pPr>
            <w:proofErr w:type="gramStart"/>
            <w:r>
              <w:rPr>
                <w:rFonts w:ascii="Arial" w:hAnsi="Arial" w:cs="Arial"/>
                <w:lang w:val="fr-CH"/>
              </w:rPr>
              <w:t>correction</w:t>
            </w:r>
            <w:proofErr w:type="gramEnd"/>
            <w:r>
              <w:rPr>
                <w:rFonts w:ascii="Arial" w:hAnsi="Arial" w:cs="Arial"/>
                <w:lang w:val="fr-CH"/>
              </w:rPr>
              <w:t xml:space="preserve"> des non-conformités</w:t>
            </w:r>
          </w:p>
          <w:p>
            <w:pPr>
              <w:pStyle w:val="tabelleliste"/>
              <w:numPr>
                <w:ilvl w:val="0"/>
                <w:numId w:val="42"/>
              </w:numPr>
              <w:spacing w:line="276" w:lineRule="auto"/>
              <w:ind w:left="351"/>
              <w:rPr>
                <w:rFonts w:ascii="Arial" w:hAnsi="Arial" w:cs="Arial"/>
                <w:lang w:val="fr-CH"/>
              </w:rPr>
            </w:pPr>
            <w:proofErr w:type="gramStart"/>
            <w:r>
              <w:rPr>
                <w:rFonts w:ascii="Arial" w:hAnsi="Arial" w:cs="Arial"/>
                <w:lang w:val="fr-CH"/>
              </w:rPr>
              <w:t>évaluation</w:t>
            </w:r>
            <w:proofErr w:type="gramEnd"/>
            <w:r>
              <w:rPr>
                <w:rFonts w:ascii="Arial" w:hAnsi="Arial" w:cs="Arial"/>
                <w:lang w:val="fr-CH"/>
              </w:rPr>
              <w:t xml:space="preserve"> du besoin d’action</w:t>
            </w:r>
          </w:p>
          <w:p>
            <w:pPr>
              <w:pStyle w:val="tabelleliste"/>
              <w:numPr>
                <w:ilvl w:val="0"/>
                <w:numId w:val="42"/>
              </w:numPr>
              <w:spacing w:line="276" w:lineRule="auto"/>
              <w:ind w:left="351"/>
              <w:rPr>
                <w:rFonts w:ascii="Arial" w:hAnsi="Arial" w:cs="Arial"/>
                <w:lang w:val="fr-CH"/>
              </w:rPr>
            </w:pPr>
            <w:proofErr w:type="gramStart"/>
            <w:r>
              <w:rPr>
                <w:rFonts w:ascii="Arial" w:hAnsi="Arial" w:cs="Arial"/>
                <w:lang w:val="fr-CH"/>
              </w:rPr>
              <w:t>détermination</w:t>
            </w:r>
            <w:proofErr w:type="gramEnd"/>
            <w:r>
              <w:rPr>
                <w:rFonts w:ascii="Arial" w:hAnsi="Arial" w:cs="Arial"/>
                <w:lang w:val="fr-CH"/>
              </w:rPr>
              <w:t xml:space="preserve"> et réalisation de mesures</w:t>
            </w:r>
          </w:p>
          <w:p>
            <w:pPr>
              <w:pStyle w:val="tabelleliste"/>
              <w:numPr>
                <w:ilvl w:val="0"/>
                <w:numId w:val="42"/>
              </w:numPr>
              <w:spacing w:line="276" w:lineRule="auto"/>
              <w:ind w:left="351"/>
              <w:rPr>
                <w:rFonts w:ascii="Arial" w:hAnsi="Arial" w:cs="Arial"/>
                <w:lang w:val="fr-CH"/>
              </w:rPr>
            </w:pPr>
            <w:proofErr w:type="gramStart"/>
            <w:r>
              <w:rPr>
                <w:rFonts w:ascii="Arial" w:hAnsi="Arial" w:cs="Arial"/>
                <w:lang w:val="fr-CH"/>
              </w:rPr>
              <w:t>enregistrement</w:t>
            </w:r>
            <w:proofErr w:type="gramEnd"/>
            <w:r>
              <w:rPr>
                <w:rFonts w:ascii="Arial" w:hAnsi="Arial" w:cs="Arial"/>
                <w:lang w:val="fr-CH"/>
              </w:rPr>
              <w:t xml:space="preserve"> des résultats des mesures prises</w:t>
            </w:r>
          </w:p>
          <w:p>
            <w:pPr>
              <w:pStyle w:val="tabelleliste"/>
              <w:numPr>
                <w:ilvl w:val="0"/>
                <w:numId w:val="42"/>
              </w:numPr>
              <w:spacing w:line="276" w:lineRule="auto"/>
              <w:ind w:left="351"/>
              <w:rPr>
                <w:rFonts w:ascii="Arial" w:hAnsi="Arial" w:cs="Arial"/>
                <w:lang w:val="fr-CH"/>
              </w:rPr>
            </w:pPr>
            <w:proofErr w:type="gramStart"/>
            <w:r>
              <w:rPr>
                <w:rFonts w:ascii="Arial" w:hAnsi="Arial" w:cs="Arial"/>
                <w:lang w:val="fr-CH"/>
              </w:rPr>
              <w:t>évaluation</w:t>
            </w:r>
            <w:proofErr w:type="gramEnd"/>
            <w:r>
              <w:rPr>
                <w:rFonts w:ascii="Arial" w:hAnsi="Arial" w:cs="Arial"/>
                <w:lang w:val="fr-CH"/>
              </w:rPr>
              <w:t xml:space="preserve"> de l’efficacité</w:t>
            </w:r>
            <w:r>
              <w:rPr>
                <w:rFonts w:ascii="Arial" w:hAnsi="Arial" w:cs="Arial"/>
                <w:lang w:val="fr-CH"/>
              </w:rPr>
              <w:t xml:space="preserve"> de la mise en œuvre de </w:t>
            </w:r>
            <w:r>
              <w:rPr>
                <w:rFonts w:ascii="Arial" w:hAnsi="Arial" w:cs="Arial"/>
                <w:lang w:val="fr-CH"/>
              </w:rPr>
              <w:t>REKOLE</w:t>
            </w:r>
            <w:r>
              <w:rPr>
                <w:rFonts w:ascii="Arial" w:hAnsi="Arial" w:cs="Arial"/>
                <w:vertAlign w:val="superscript"/>
                <w:lang w:val="fr-CH"/>
              </w:rPr>
              <w:t xml:space="preserve">® </w:t>
            </w:r>
            <w:r>
              <w:rPr>
                <w:rFonts w:ascii="Arial" w:hAnsi="Arial" w:cs="Arial"/>
                <w:lang w:val="fr-CH"/>
              </w:rPr>
              <w:t>et des processus correspondants</w:t>
            </w:r>
          </w:p>
          <w:p>
            <w:pPr>
              <w:pStyle w:val="tabellegt"/>
              <w:spacing w:line="276" w:lineRule="auto"/>
              <w:rPr>
                <w:rFonts w:ascii="Arial" w:hAnsi="Arial" w:cs="Arial"/>
                <w:lang w:val="fr-CH"/>
              </w:rPr>
            </w:pPr>
            <w:proofErr w:type="gramStart"/>
            <w:r>
              <w:rPr>
                <w:rFonts w:ascii="Arial" w:hAnsi="Arial" w:cs="Arial"/>
                <w:lang w:val="fr-CH"/>
              </w:rPr>
              <w:t>sont</w:t>
            </w:r>
            <w:proofErr w:type="gramEnd"/>
            <w:r>
              <w:rPr>
                <w:rFonts w:ascii="Arial" w:hAnsi="Arial" w:cs="Arial"/>
                <w:lang w:val="fr-CH"/>
              </w:rPr>
              <w:t xml:space="preserve"> disponibles, actualisées et définissent:</w:t>
            </w:r>
          </w:p>
          <w:p>
            <w:pPr>
              <w:pStyle w:val="tabelleliste"/>
              <w:numPr>
                <w:ilvl w:val="0"/>
                <w:numId w:val="43"/>
              </w:numPr>
              <w:spacing w:line="276" w:lineRule="auto"/>
              <w:ind w:left="351"/>
              <w:rPr>
                <w:rFonts w:ascii="Arial" w:hAnsi="Arial" w:cs="Arial"/>
                <w:lang w:val="fr-CH"/>
              </w:rPr>
            </w:pPr>
            <w:proofErr w:type="gramStart"/>
            <w:r>
              <w:rPr>
                <w:rFonts w:ascii="Arial" w:hAnsi="Arial" w:cs="Arial"/>
                <w:lang w:val="fr-CH"/>
              </w:rPr>
              <w:t>détection</w:t>
            </w:r>
            <w:proofErr w:type="gramEnd"/>
            <w:r>
              <w:rPr>
                <w:rFonts w:ascii="Arial" w:hAnsi="Arial" w:cs="Arial"/>
                <w:lang w:val="fr-CH"/>
              </w:rPr>
              <w:t xml:space="preserve"> des non-conformités potentielles et de leurs causes</w:t>
            </w:r>
          </w:p>
          <w:p>
            <w:pPr>
              <w:pStyle w:val="tabelleliste"/>
              <w:numPr>
                <w:ilvl w:val="0"/>
                <w:numId w:val="43"/>
              </w:numPr>
              <w:spacing w:line="276" w:lineRule="auto"/>
              <w:ind w:left="351"/>
              <w:rPr>
                <w:rFonts w:ascii="Arial" w:hAnsi="Arial" w:cs="Arial"/>
                <w:lang w:val="fr-CH"/>
              </w:rPr>
            </w:pPr>
            <w:proofErr w:type="gramStart"/>
            <w:r>
              <w:rPr>
                <w:rFonts w:ascii="Arial" w:hAnsi="Arial" w:cs="Arial"/>
                <w:lang w:val="fr-CH"/>
              </w:rPr>
              <w:t>évaluation</w:t>
            </w:r>
            <w:proofErr w:type="gramEnd"/>
            <w:r>
              <w:rPr>
                <w:rFonts w:ascii="Arial" w:hAnsi="Arial" w:cs="Arial"/>
                <w:lang w:val="fr-CH"/>
              </w:rPr>
              <w:t xml:space="preserve"> du besoin d’action</w:t>
            </w:r>
          </w:p>
          <w:p>
            <w:pPr>
              <w:pStyle w:val="tabelleliste"/>
              <w:numPr>
                <w:ilvl w:val="0"/>
                <w:numId w:val="43"/>
              </w:numPr>
              <w:spacing w:line="276" w:lineRule="auto"/>
              <w:ind w:left="351"/>
              <w:rPr>
                <w:rFonts w:ascii="Arial" w:hAnsi="Arial" w:cs="Arial"/>
                <w:lang w:val="fr-CH"/>
              </w:rPr>
            </w:pPr>
            <w:proofErr w:type="gramStart"/>
            <w:r>
              <w:rPr>
                <w:rFonts w:ascii="Arial" w:hAnsi="Arial" w:cs="Arial"/>
                <w:lang w:val="fr-CH"/>
              </w:rPr>
              <w:t>détermination</w:t>
            </w:r>
            <w:proofErr w:type="gramEnd"/>
            <w:r>
              <w:rPr>
                <w:rFonts w:ascii="Arial" w:hAnsi="Arial" w:cs="Arial"/>
                <w:lang w:val="fr-CH"/>
              </w:rPr>
              <w:t xml:space="preserve"> et réalisation de mesures</w:t>
            </w:r>
          </w:p>
          <w:p>
            <w:pPr>
              <w:pStyle w:val="tabelleliste"/>
              <w:numPr>
                <w:ilvl w:val="0"/>
                <w:numId w:val="43"/>
              </w:numPr>
              <w:spacing w:line="276" w:lineRule="auto"/>
              <w:ind w:left="351"/>
              <w:rPr>
                <w:rFonts w:ascii="Arial" w:hAnsi="Arial" w:cs="Arial"/>
                <w:lang w:val="fr-CH"/>
              </w:rPr>
            </w:pPr>
            <w:proofErr w:type="gramStart"/>
            <w:r>
              <w:rPr>
                <w:rFonts w:ascii="Arial" w:hAnsi="Arial" w:cs="Arial"/>
                <w:lang w:val="fr-CH"/>
              </w:rPr>
              <w:t>enregistrement</w:t>
            </w:r>
            <w:proofErr w:type="gramEnd"/>
            <w:r>
              <w:rPr>
                <w:rFonts w:ascii="Arial" w:hAnsi="Arial" w:cs="Arial"/>
                <w:lang w:val="fr-CH"/>
              </w:rPr>
              <w:t xml:space="preserve"> de leurs résultats</w:t>
            </w:r>
          </w:p>
          <w:p>
            <w:pPr>
              <w:pStyle w:val="tabelleliste"/>
              <w:numPr>
                <w:ilvl w:val="0"/>
                <w:numId w:val="43"/>
              </w:numPr>
              <w:spacing w:line="276" w:lineRule="auto"/>
              <w:ind w:left="351"/>
              <w:rPr>
                <w:rFonts w:ascii="Arial" w:hAnsi="Arial" w:cs="Arial"/>
                <w:lang w:val="fr-CH"/>
              </w:rPr>
            </w:pPr>
            <w:proofErr w:type="gramStart"/>
            <w:r>
              <w:rPr>
                <w:rFonts w:ascii="Arial" w:hAnsi="Arial" w:cs="Arial"/>
                <w:lang w:val="fr-CH"/>
              </w:rPr>
              <w:t>évaluation</w:t>
            </w:r>
            <w:proofErr w:type="gramEnd"/>
            <w:r>
              <w:rPr>
                <w:rFonts w:ascii="Arial" w:hAnsi="Arial" w:cs="Arial"/>
                <w:lang w:val="fr-CH"/>
              </w:rPr>
              <w:t xml:space="preserve"> de l’efficacité</w:t>
            </w:r>
            <w:r>
              <w:rPr>
                <w:rFonts w:ascii="Arial" w:hAnsi="Arial" w:cs="Arial"/>
                <w:lang w:val="fr-CH"/>
              </w:rPr>
              <w:t xml:space="preserve"> de la mise en œuvre </w:t>
            </w:r>
            <w:r>
              <w:rPr>
                <w:rFonts w:ascii="Arial" w:hAnsi="Arial" w:cs="Arial"/>
                <w:lang w:val="fr-CH"/>
              </w:rPr>
              <w:t xml:space="preserve">de </w:t>
            </w:r>
            <w:r>
              <w:rPr>
                <w:rFonts w:ascii="Arial" w:hAnsi="Arial" w:cs="Arial"/>
                <w:lang w:val="fr-CH"/>
              </w:rPr>
              <w:t>REKOLE</w:t>
            </w:r>
            <w:r>
              <w:rPr>
                <w:rFonts w:ascii="Arial" w:hAnsi="Arial" w:cs="Arial"/>
                <w:vertAlign w:val="superscript"/>
                <w:lang w:val="fr-CH"/>
              </w:rPr>
              <w:t>®</w:t>
            </w:r>
            <w:r>
              <w:rPr>
                <w:rFonts w:ascii="Arial" w:hAnsi="Arial" w:cs="Arial"/>
                <w:lang w:val="fr-CH"/>
              </w:rPr>
              <w:t xml:space="preserve"> et des processus correspondants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pPr>
              <w:pStyle w:val="tabelletitel"/>
              <w:spacing w:line="276" w:lineRule="auto"/>
              <w:rPr>
                <w:rFonts w:ascii="Arial" w:hAnsi="Arial" w:cs="Arial"/>
                <w:lang w:val="fr-CH"/>
              </w:rPr>
            </w:pPr>
            <w:r>
              <w:rPr>
                <w:rStyle w:val="ExpertLight"/>
                <w:rFonts w:ascii="Arial" w:hAnsi="Arial" w:cs="Arial"/>
                <w:lang w:val="fr-CH"/>
              </w:rPr>
              <w:t>4</w:t>
            </w:r>
          </w:p>
        </w:tc>
        <w:tc>
          <w:tcPr>
            <w:tcW w:w="6401"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19" w:type="dxa"/>
            </w:tcMar>
          </w:tcPr>
          <w:p>
            <w:pPr>
              <w:pStyle w:val="tabelletitel"/>
              <w:spacing w:line="276" w:lineRule="auto"/>
              <w:rPr>
                <w:rFonts w:ascii="Arial" w:hAnsi="Arial" w:cs="Arial"/>
                <w:lang w:val="fr-CH"/>
              </w:rPr>
            </w:pPr>
            <w:r>
              <w:rPr>
                <w:rFonts w:ascii="Arial" w:hAnsi="Arial" w:cs="Arial"/>
                <w:lang w:val="fr-CH"/>
              </w:rPr>
              <w:t>Termes fondamentaux</w:t>
            </w:r>
          </w:p>
        </w:tc>
        <w:tc>
          <w:tcPr>
            <w:tcW w:w="2722"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pPr>
              <w:pStyle w:val="tabelletitel"/>
              <w:spacing w:line="276" w:lineRule="auto"/>
              <w:rPr>
                <w:rFonts w:ascii="Arial" w:hAnsi="Arial" w:cs="Arial"/>
                <w:lang w:val="fr-CH"/>
              </w:rPr>
            </w:pPr>
            <w:r>
              <w:rPr>
                <w:rFonts w:ascii="Arial" w:hAnsi="Arial" w:cs="Arial"/>
                <w:lang w:val="fr-CH"/>
              </w:rPr>
              <w:t>Remarques</w:t>
            </w: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bl>
    <w:p>
      <w:pPr>
        <w:spacing w:line="276" w:lineRule="auto"/>
        <w:rPr>
          <w:lang w:val="fr-CH"/>
        </w:rPr>
      </w:pPr>
      <w:r>
        <w:rPr>
          <w:b/>
          <w:bCs/>
          <w:lang w:val="fr-CH"/>
        </w:rPr>
        <w:br w:type="page"/>
      </w:r>
    </w:p>
    <w:tbl>
      <w:tblPr>
        <w:tblW w:w="9798" w:type="dxa"/>
        <w:tblInd w:w="108" w:type="dxa"/>
        <w:tblLayout w:type="fixed"/>
        <w:tblCellMar>
          <w:left w:w="0" w:type="dxa"/>
          <w:right w:w="0" w:type="dxa"/>
        </w:tblCellMar>
        <w:tblLook w:val="0000" w:firstRow="0" w:lastRow="0" w:firstColumn="0" w:lastColumn="0" w:noHBand="0" w:noVBand="0"/>
      </w:tblPr>
      <w:tblGrid>
        <w:gridCol w:w="675"/>
        <w:gridCol w:w="6401"/>
        <w:gridCol w:w="2722"/>
      </w:tblGrid>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pPr>
              <w:pStyle w:val="tabelletitel"/>
              <w:spacing w:line="276" w:lineRule="auto"/>
              <w:rPr>
                <w:rFonts w:ascii="Arial" w:hAnsi="Arial" w:cs="Arial"/>
                <w:lang w:val="fr-CH"/>
              </w:rPr>
            </w:pPr>
            <w:r>
              <w:rPr>
                <w:rStyle w:val="ExpertLight"/>
                <w:rFonts w:ascii="Arial" w:hAnsi="Arial" w:cs="Arial"/>
                <w:lang w:val="fr-CH"/>
              </w:rPr>
              <w:lastRenderedPageBreak/>
              <w:t>5</w:t>
            </w:r>
          </w:p>
        </w:tc>
        <w:tc>
          <w:tcPr>
            <w:tcW w:w="6401"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19" w:type="dxa"/>
            </w:tcMar>
          </w:tcPr>
          <w:p>
            <w:pPr>
              <w:pStyle w:val="tabelletitel"/>
              <w:spacing w:line="276" w:lineRule="auto"/>
              <w:rPr>
                <w:rFonts w:ascii="Arial" w:hAnsi="Arial" w:cs="Arial"/>
                <w:lang w:val="fr-CH"/>
              </w:rPr>
            </w:pPr>
            <w:r>
              <w:rPr>
                <w:rFonts w:ascii="Arial" w:hAnsi="Arial" w:cs="Arial"/>
                <w:lang w:val="fr-CH"/>
              </w:rPr>
              <w:t>La comptabilité des ajustements</w:t>
            </w:r>
          </w:p>
        </w:tc>
        <w:tc>
          <w:tcPr>
            <w:tcW w:w="2722"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pPr>
              <w:pStyle w:val="tabelletitel"/>
              <w:spacing w:line="276" w:lineRule="auto"/>
              <w:rPr>
                <w:rFonts w:ascii="Arial" w:hAnsi="Arial" w:cs="Arial"/>
                <w:lang w:val="fr-CH"/>
              </w:rPr>
            </w:pPr>
            <w:r>
              <w:rPr>
                <w:rFonts w:ascii="Arial" w:hAnsi="Arial" w:cs="Arial"/>
                <w:lang w:val="fr-CH"/>
              </w:rPr>
              <w:t>Remarques</w:t>
            </w: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5.1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Objectifs de la comptabilité des ajustements et de la passerelle d’ajustement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5.2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Granularité (degré de spécificité) des ajustements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310553642"/>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 xml:space="preserve">Vérification des rapports fondamentaux </w:t>
            </w:r>
            <w:r>
              <w:rPr>
                <w:rStyle w:val="ExpertGrundschrift"/>
                <w:rFonts w:ascii="Arial" w:hAnsi="Arial" w:cs="Arial"/>
                <w:lang w:val="fr-CH"/>
              </w:rPr>
              <w:t>1 à 1</w:t>
            </w:r>
            <w:r>
              <w:rPr>
                <w:rFonts w:ascii="Arial" w:hAnsi="Arial" w:cs="Arial"/>
                <w:lang w:val="fr-CH"/>
              </w:rPr>
              <w:t xml:space="preserve"> et N à </w:t>
            </w:r>
            <w:r>
              <w:rPr>
                <w:rStyle w:val="ExpertGrundschrift"/>
                <w:rFonts w:ascii="Arial" w:hAnsi="Arial" w:cs="Arial"/>
                <w:lang w:val="fr-CH"/>
              </w:rPr>
              <w:t>1</w:t>
            </w:r>
            <w:r>
              <w:rPr>
                <w:rFonts w:ascii="Arial" w:hAnsi="Arial" w:cs="Arial"/>
                <w:lang w:val="fr-CH"/>
              </w:rPr>
              <w:t xml:space="preserve"> définis dans le manuel REKOLE</w:t>
            </w:r>
            <w:r>
              <w:rPr>
                <w:rFonts w:ascii="Arial" w:hAnsi="Arial" w:cs="Arial"/>
                <w:vertAlign w:val="superscript"/>
                <w:lang w:val="fr-CH"/>
              </w:rPr>
              <w:t>®</w:t>
            </w:r>
            <w:r>
              <w:rPr>
                <w:rFonts w:ascii="Arial" w:hAnsi="Arial" w:cs="Arial"/>
                <w:lang w:val="fr-CH"/>
              </w:rPr>
              <w:t xml:space="preserve"> entre les comptes de résultat et les charges par nature</w:t>
            </w:r>
          </w:p>
          <w:p>
            <w:pPr>
              <w:pStyle w:val="tabellegt"/>
              <w:spacing w:line="276" w:lineRule="auto"/>
              <w:rPr>
                <w:rFonts w:ascii="Arial" w:hAnsi="Arial" w:cs="Arial"/>
                <w:lang w:val="fr-CH"/>
              </w:rPr>
            </w:pPr>
          </w:p>
          <w:p>
            <w:pPr>
              <w:pStyle w:val="tabellegt"/>
              <w:spacing w:line="276" w:lineRule="auto"/>
              <w:rPr>
                <w:rFonts w:ascii="Arial" w:hAnsi="Arial" w:cs="Arial"/>
                <w:lang w:val="fr-CH"/>
              </w:rPr>
            </w:pPr>
            <w:proofErr w:type="gramStart"/>
            <w:r>
              <w:rPr>
                <w:rFonts w:ascii="Arial" w:hAnsi="Arial" w:cs="Arial"/>
                <w:color w:val="005596"/>
                <w:lang w:val="fr-CH"/>
              </w:rPr>
              <w:t>Attention:</w:t>
            </w:r>
            <w:proofErr w:type="gramEnd"/>
            <w:r>
              <w:rPr>
                <w:rFonts w:ascii="Arial" w:hAnsi="Arial" w:cs="Arial"/>
                <w:color w:val="005596"/>
                <w:lang w:val="fr-CH"/>
              </w:rPr>
              <w:t xml:space="preserve"> il n’existe pas de rapport 1 à N et N à N</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5.3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Granularité du relevé des différences de couverture et de leurs imputations ultérieures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5.4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La passerelle d’ajustement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588183574"/>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Mise à disposition de la passerelle d’ajustement</w:t>
            </w:r>
            <w:r>
              <w:rPr>
                <w:rFonts w:ascii="Arial" w:hAnsi="Arial" w:cs="Arial"/>
                <w:lang w:val="fr-CH"/>
              </w:rPr>
              <w:t>,</w:t>
            </w:r>
            <w:r>
              <w:rPr>
                <w:rFonts w:ascii="Arial" w:hAnsi="Arial" w:cs="Arial"/>
                <w:lang w:val="fr-CH"/>
              </w:rPr>
              <w:t xml:space="preserve"> qui contient les éléments nécessaires conformément au manuel </w:t>
            </w:r>
            <w:r>
              <w:rPr>
                <w:rFonts w:ascii="Arial" w:hAnsi="Arial" w:cs="Arial"/>
                <w:lang w:val="fr-CH"/>
              </w:rPr>
              <w:t>REKOLE</w:t>
            </w:r>
            <w:r>
              <w:rPr>
                <w:rFonts w:ascii="Arial" w:hAnsi="Arial" w:cs="Arial"/>
                <w:vertAlign w:val="superscript"/>
                <w:lang w:val="fr-CH"/>
              </w:rPr>
              <w:t>®</w:t>
            </w:r>
            <w:r>
              <w:rPr>
                <w:rFonts w:ascii="Arial" w:hAnsi="Arial" w:cs="Arial"/>
                <w:lang w:val="fr-CH"/>
              </w:rPr>
              <w:t>, chap. 5.4,</w:t>
            </w:r>
            <w:r>
              <w:rPr>
                <w:rFonts w:ascii="Arial" w:hAnsi="Arial" w:cs="Arial"/>
                <w:lang w:val="fr-CH"/>
              </w:rPr>
              <w:t xml:space="preserve"> </w:t>
            </w:r>
            <w:r>
              <w:rPr>
                <w:rFonts w:ascii="Arial" w:hAnsi="Arial" w:cs="Arial"/>
                <w:lang w:val="fr-CH"/>
              </w:rPr>
              <w:t>s</w:t>
            </w:r>
            <w:r>
              <w:rPr>
                <w:rFonts w:ascii="Arial" w:hAnsi="Arial" w:cs="Arial"/>
                <w:lang w:val="fr-CH"/>
              </w:rPr>
              <w:t xml:space="preserve">achant que les montants provenant de </w:t>
            </w:r>
            <w:proofErr w:type="gramStart"/>
            <w:r>
              <w:rPr>
                <w:rFonts w:ascii="Arial" w:hAnsi="Arial" w:cs="Arial"/>
                <w:lang w:val="fr-CH"/>
              </w:rPr>
              <w:t>la:</w:t>
            </w:r>
            <w:proofErr w:type="gramEnd"/>
          </w:p>
          <w:p>
            <w:pPr>
              <w:pStyle w:val="tabellegt"/>
              <w:spacing w:line="276" w:lineRule="auto"/>
              <w:rPr>
                <w:rFonts w:ascii="Arial" w:hAnsi="Arial" w:cs="Arial"/>
                <w:lang w:val="fr-CH"/>
              </w:rPr>
            </w:pPr>
            <w:r>
              <w:rPr>
                <w:rStyle w:val="ExpertGrundschrift"/>
                <w:rFonts w:ascii="Arial" w:hAnsi="Arial" w:cs="Arial"/>
                <w:lang w:val="fr-CH"/>
              </w:rPr>
              <w:t>1</w:t>
            </w:r>
            <w:r>
              <w:rPr>
                <w:rFonts w:ascii="Arial" w:hAnsi="Arial" w:cs="Arial"/>
                <w:lang w:val="fr-CH"/>
              </w:rPr>
              <w:t>) comptabilité financière +/- ajustements par objet</w:t>
            </w:r>
          </w:p>
          <w:p>
            <w:pPr>
              <w:pStyle w:val="tabellegt"/>
              <w:spacing w:line="276" w:lineRule="auto"/>
              <w:rPr>
                <w:rFonts w:ascii="Arial" w:hAnsi="Arial" w:cs="Arial"/>
                <w:lang w:val="fr-CH"/>
              </w:rPr>
            </w:pPr>
            <w:r>
              <w:rPr>
                <w:rStyle w:val="ExpertGrundschrift"/>
                <w:rFonts w:ascii="Arial" w:hAnsi="Arial" w:cs="Arial"/>
                <w:lang w:val="fr-CH"/>
              </w:rPr>
              <w:t>2</w:t>
            </w:r>
            <w:r>
              <w:rPr>
                <w:rFonts w:ascii="Arial" w:hAnsi="Arial" w:cs="Arial"/>
                <w:lang w:val="fr-CH"/>
              </w:rPr>
              <w:t>) comptabilité analytique</w:t>
            </w:r>
          </w:p>
          <w:p>
            <w:pPr>
              <w:pStyle w:val="tabellegt"/>
              <w:spacing w:line="276" w:lineRule="auto"/>
              <w:rPr>
                <w:rFonts w:ascii="Arial" w:hAnsi="Arial" w:cs="Arial"/>
                <w:lang w:val="fr-CH"/>
              </w:rPr>
            </w:pPr>
            <w:r>
              <w:rPr>
                <w:rStyle w:val="ExpertGrundschrift"/>
                <w:rFonts w:ascii="Arial" w:hAnsi="Arial" w:cs="Arial"/>
                <w:lang w:val="fr-CH"/>
              </w:rPr>
              <w:t>3</w:t>
            </w:r>
            <w:r>
              <w:rPr>
                <w:rFonts w:ascii="Arial" w:hAnsi="Arial" w:cs="Arial"/>
                <w:lang w:val="fr-CH"/>
              </w:rPr>
              <w:t>) comptabilité par unité finale d’imputation</w:t>
            </w:r>
          </w:p>
          <w:p>
            <w:pPr>
              <w:pStyle w:val="tabellegt"/>
              <w:spacing w:line="276" w:lineRule="auto"/>
              <w:rPr>
                <w:rFonts w:ascii="Arial" w:hAnsi="Arial" w:cs="Arial"/>
                <w:lang w:val="fr-CH"/>
              </w:rPr>
            </w:pPr>
            <w:proofErr w:type="gramStart"/>
            <w:r>
              <w:rPr>
                <w:rFonts w:ascii="Arial" w:hAnsi="Arial" w:cs="Arial"/>
                <w:lang w:val="fr-CH"/>
              </w:rPr>
              <w:t>doivent</w:t>
            </w:r>
            <w:proofErr w:type="gramEnd"/>
            <w:r>
              <w:rPr>
                <w:rFonts w:ascii="Arial" w:hAnsi="Arial" w:cs="Arial"/>
                <w:lang w:val="fr-CH"/>
              </w:rPr>
              <w:t xml:space="preserve"> </w:t>
            </w:r>
            <w:r>
              <w:rPr>
                <w:rFonts w:ascii="Arial" w:hAnsi="Arial" w:cs="Arial"/>
                <w:lang w:val="fr-CH"/>
              </w:rPr>
              <w:t>concorder</w:t>
            </w:r>
            <w:r>
              <w:rPr>
                <w:rFonts w:ascii="Arial" w:hAnsi="Arial" w:cs="Arial"/>
                <w:lang w:val="fr-CH"/>
              </w:rPr>
              <w:t xml:space="preserve"> et que les résultats de la passerelle d’ajustement doivent </w:t>
            </w:r>
            <w:r>
              <w:rPr>
                <w:rFonts w:ascii="Arial" w:hAnsi="Arial" w:cs="Arial"/>
                <w:lang w:val="fr-CH"/>
              </w:rPr>
              <w:t>pouvoir être adaptés</w:t>
            </w:r>
            <w:r>
              <w:rPr>
                <w:rFonts w:ascii="Arial" w:hAnsi="Arial" w:cs="Arial"/>
                <w:lang w:val="fr-CH"/>
              </w:rPr>
              <w:t xml:space="preserve"> aussi bien au bouclement financier qu’au résultat </w:t>
            </w:r>
            <w:r>
              <w:rPr>
                <w:rFonts w:ascii="Arial" w:hAnsi="Arial" w:cs="Arial"/>
                <w:lang w:val="fr-CH"/>
              </w:rPr>
              <w:t>COAN</w:t>
            </w:r>
            <w:r>
              <w:rPr>
                <w:rFonts w:ascii="Arial" w:hAnsi="Arial" w:cs="Arial"/>
                <w:lang w:val="fr-CH"/>
              </w:rPr>
              <w:t xml:space="preserve"> (dans le système). </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5.5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Ajustements périodiques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 xml:space="preserve">S’il existe un bouclement financier révisé selon le principe </w:t>
            </w:r>
            <w:proofErr w:type="spellStart"/>
            <w:r>
              <w:rPr>
                <w:rFonts w:ascii="Arial" w:hAnsi="Arial" w:cs="Arial"/>
                <w:lang w:val="fr-CH"/>
              </w:rPr>
              <w:t>True</w:t>
            </w:r>
            <w:proofErr w:type="spellEnd"/>
            <w:r>
              <w:rPr>
                <w:rFonts w:ascii="Arial" w:hAnsi="Arial" w:cs="Arial"/>
                <w:lang w:val="fr-CH"/>
              </w:rPr>
              <w:t xml:space="preserve"> and </w:t>
            </w:r>
            <w:proofErr w:type="spellStart"/>
            <w:r>
              <w:rPr>
                <w:rFonts w:ascii="Arial" w:hAnsi="Arial" w:cs="Arial"/>
                <w:lang w:val="fr-CH"/>
              </w:rPr>
              <w:t>Fair</w:t>
            </w:r>
            <w:proofErr w:type="spellEnd"/>
            <w:r>
              <w:rPr>
                <w:rFonts w:ascii="Arial" w:hAnsi="Arial" w:cs="Arial"/>
                <w:lang w:val="fr-CH"/>
              </w:rPr>
              <w:t xml:space="preserve"> </w:t>
            </w:r>
            <w:proofErr w:type="spellStart"/>
            <w:r>
              <w:rPr>
                <w:rFonts w:ascii="Arial" w:hAnsi="Arial" w:cs="Arial"/>
                <w:lang w:val="fr-CH"/>
              </w:rPr>
              <w:t>View</w:t>
            </w:r>
            <w:proofErr w:type="spellEnd"/>
            <w:r>
              <w:rPr>
                <w:rFonts w:ascii="Arial" w:hAnsi="Arial" w:cs="Arial"/>
                <w:lang w:val="fr-CH"/>
              </w:rPr>
              <w:t>, il est possible de renoncer à mettre à disposition la documentation et les justificatifs</w:t>
            </w:r>
            <w:r>
              <w:rPr>
                <w:rFonts w:ascii="Arial" w:hAnsi="Arial" w:cs="Arial"/>
                <w:lang w:val="fr-CH"/>
              </w:rPr>
              <w:t xml:space="preserve"> etc.</w:t>
            </w:r>
            <w:r>
              <w:rPr>
                <w:rFonts w:ascii="Arial" w:hAnsi="Arial" w:cs="Arial"/>
                <w:lang w:val="fr-CH"/>
              </w:rPr>
              <w:t xml:space="preserve">, qui sont demandés dans le chapitre </w:t>
            </w:r>
            <w:r>
              <w:rPr>
                <w:rStyle w:val="ExpertGrundschrift"/>
                <w:rFonts w:ascii="Arial" w:hAnsi="Arial" w:cs="Arial"/>
                <w:lang w:val="fr-CH"/>
              </w:rPr>
              <w:t>5.5</w:t>
            </w:r>
            <w:r>
              <w:rPr>
                <w:rFonts w:ascii="Arial" w:hAnsi="Arial" w:cs="Arial"/>
                <w:lang w:val="fr-CH"/>
              </w:rPr>
              <w:t xml:space="preserve">. </w:t>
            </w:r>
            <w:proofErr w:type="gramStart"/>
            <w:r>
              <w:rPr>
                <w:rFonts w:ascii="Arial" w:hAnsi="Arial" w:cs="Arial"/>
                <w:lang w:val="fr-CH"/>
              </w:rPr>
              <w:t>relatif</w:t>
            </w:r>
            <w:proofErr w:type="gramEnd"/>
            <w:r>
              <w:rPr>
                <w:rFonts w:ascii="Arial" w:hAnsi="Arial" w:cs="Arial"/>
                <w:lang w:val="fr-CH"/>
              </w:rPr>
              <w:t xml:space="preserve"> aux ajustements périodiques.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191918740"/>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Attestation des postes de régularisation à l’actif et au passif</w:t>
            </w:r>
            <w:r>
              <w:rPr>
                <w:rFonts w:ascii="Arial" w:hAnsi="Arial" w:cs="Arial"/>
                <w:lang w:val="fr-CH"/>
              </w:rPr>
              <w:t xml:space="preserve"> ainsi que des provisions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777650948"/>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w:t>
            </w:r>
            <w:r>
              <w:rPr>
                <w:rFonts w:ascii="Arial" w:hAnsi="Arial" w:cs="Arial"/>
                <w:lang w:val="fr-CH"/>
              </w:rPr>
              <w:t>seuls les charges et produits concernant la période sont</w:t>
            </w:r>
            <w:r>
              <w:rPr>
                <w:rFonts w:ascii="Arial" w:hAnsi="Arial" w:cs="Arial"/>
                <w:lang w:val="fr-CH"/>
              </w:rPr>
              <w:t xml:space="preserve"> pris en compte</w:t>
            </w:r>
            <w:r>
              <w:rPr>
                <w:rFonts w:ascii="Arial" w:hAnsi="Arial" w:cs="Arial"/>
                <w:lang w:val="fr-CH"/>
              </w:rPr>
              <w:t xml:space="preserve"> </w:t>
            </w:r>
            <w:r>
              <w:rPr>
                <w:rFonts w:ascii="Arial" w:hAnsi="Arial" w:cs="Arial"/>
                <w:lang w:val="fr-CH"/>
              </w:rPr>
              <w:t xml:space="preserve">dans la comptabilité analytique. </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5.6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Ajustements par objet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191732015"/>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dans la comptabilité analytique ne sont inclus que les coûts pour les charges directement liées à l’activité principale de l’entreprise</w:t>
            </w:r>
            <w:r>
              <w:rPr>
                <w:rFonts w:cs="Arial"/>
                <w:lang w:val="fr-CH"/>
              </w:rPr>
              <w:t xml:space="preserve">. </w:t>
            </w:r>
            <w:r>
              <w:rPr>
                <w:rFonts w:cs="Arial"/>
              </w:rPr>
              <w:sym w:font="Wingdings" w:char="F0E0"/>
            </w:r>
            <w:r>
              <w:rPr>
                <w:rFonts w:ascii="Arial" w:hAnsi="Arial" w:cs="Arial"/>
                <w:lang w:val="fr-CH"/>
              </w:rPr>
              <w:t xml:space="preserve"> </w:t>
            </w:r>
            <w:proofErr w:type="gramStart"/>
            <w:r>
              <w:rPr>
                <w:rFonts w:ascii="Arial" w:hAnsi="Arial" w:cs="Arial"/>
                <w:lang w:val="fr-CH"/>
              </w:rPr>
              <w:t>passerelle</w:t>
            </w:r>
            <w:proofErr w:type="gramEnd"/>
            <w:r>
              <w:rPr>
                <w:rFonts w:ascii="Arial" w:hAnsi="Arial" w:cs="Arial"/>
                <w:lang w:val="fr-CH"/>
              </w:rPr>
              <w:t xml:space="preserve"> d’ajustement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243139560"/>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prise en compte des charges substitutives au moyen d’autres taux d’évaluation dans la comptabilité analytique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579745803"/>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prise en compte des charges supplétives dans la comptabilité analytique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509580"/>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prise en compte, justificatif et base de calcul pour les intérêts calculés dans la comptabilité analytique </w:t>
            </w:r>
          </w:p>
          <w:p>
            <w:pPr>
              <w:pStyle w:val="tabellegt"/>
              <w:spacing w:line="276" w:lineRule="auto"/>
              <w:rPr>
                <w:rFonts w:ascii="Arial" w:hAnsi="Arial" w:cs="Arial"/>
                <w:lang w:val="fr-CH"/>
              </w:rPr>
            </w:pPr>
          </w:p>
          <w:p>
            <w:pPr>
              <w:pStyle w:val="tabellegt"/>
              <w:spacing w:line="276" w:lineRule="auto"/>
              <w:rPr>
                <w:rFonts w:ascii="Arial" w:hAnsi="Arial" w:cs="Arial"/>
                <w:color w:val="005596"/>
                <w:lang w:val="fr-CH"/>
              </w:rPr>
            </w:pPr>
            <w:proofErr w:type="gramStart"/>
            <w:r>
              <w:rPr>
                <w:rFonts w:ascii="Arial" w:hAnsi="Arial" w:cs="Arial"/>
                <w:color w:val="005596"/>
                <w:lang w:val="fr-CH"/>
              </w:rPr>
              <w:t>Note:</w:t>
            </w:r>
            <w:proofErr w:type="gramEnd"/>
            <w:r>
              <w:rPr>
                <w:rFonts w:ascii="Arial" w:hAnsi="Arial" w:cs="Arial"/>
                <w:color w:val="005596"/>
                <w:lang w:val="fr-CH"/>
              </w:rPr>
              <w:t xml:space="preserve"> La base de calcul permettant de déterminer les intérêts calculés des actifs circulants correspond aux actifs circulants nets et repose sur</w:t>
            </w:r>
          </w:p>
          <w:p>
            <w:pPr>
              <w:pStyle w:val="tabelleliste"/>
              <w:numPr>
                <w:ilvl w:val="0"/>
                <w:numId w:val="27"/>
              </w:numPr>
              <w:spacing w:line="276" w:lineRule="auto"/>
              <w:ind w:left="351" w:hanging="351"/>
              <w:rPr>
                <w:rFonts w:ascii="Arial" w:hAnsi="Arial" w:cs="Arial"/>
                <w:color w:val="005596"/>
                <w:lang w:val="fr-CH"/>
              </w:rPr>
            </w:pPr>
            <w:proofErr w:type="gramStart"/>
            <w:r>
              <w:rPr>
                <w:rFonts w:ascii="Arial" w:hAnsi="Arial" w:cs="Arial"/>
                <w:color w:val="005596"/>
                <w:lang w:val="fr-CH"/>
              </w:rPr>
              <w:t>l’état</w:t>
            </w:r>
            <w:proofErr w:type="gramEnd"/>
            <w:r>
              <w:rPr>
                <w:rFonts w:ascii="Arial" w:hAnsi="Arial" w:cs="Arial"/>
                <w:color w:val="005596"/>
                <w:lang w:val="fr-CH"/>
              </w:rPr>
              <w:t xml:space="preserve"> moyen du capital net investi dans les actifs circulants. </w:t>
            </w:r>
          </w:p>
          <w:p>
            <w:pPr>
              <w:pStyle w:val="tabelleliste"/>
              <w:spacing w:line="276" w:lineRule="auto"/>
              <w:ind w:left="0" w:firstLine="0"/>
              <w:rPr>
                <w:rFonts w:cs="Arial"/>
                <w:lang w:val="fr-CH"/>
              </w:rPr>
            </w:pPr>
          </w:p>
          <w:p>
            <w:pPr>
              <w:pStyle w:val="tabelleliste"/>
              <w:spacing w:line="276" w:lineRule="auto"/>
              <w:ind w:left="0" w:firstLine="0"/>
              <w:rPr>
                <w:rFonts w:ascii="Arial" w:hAnsi="Arial" w:cs="Arial"/>
                <w:color w:val="005596"/>
                <w:lang w:val="fr-CH"/>
              </w:rPr>
            </w:pPr>
            <w:r>
              <w:rPr>
                <w:rFonts w:ascii="Arial" w:hAnsi="Arial" w:cs="Arial"/>
                <w:color w:val="005596"/>
                <w:lang w:val="fr-CH"/>
              </w:rPr>
              <w:lastRenderedPageBreak/>
              <w:t>Des intérêts négatifs sur actifs circulants découlant d’actifs circulants négatifs, lesquels correspondent – dans la comptabilité analytique – à un revenu, ne sont pas pris en considération.</w:t>
            </w:r>
          </w:p>
          <w:p>
            <w:pPr>
              <w:pStyle w:val="tabellegt"/>
              <w:spacing w:line="276" w:lineRule="auto"/>
              <w:rPr>
                <w:rFonts w:ascii="Arial" w:hAnsi="Arial" w:cs="Arial"/>
                <w:color w:val="005596"/>
                <w:lang w:val="fr-CH"/>
              </w:rPr>
            </w:pPr>
          </w:p>
          <w:p>
            <w:pPr>
              <w:pStyle w:val="tabellegt"/>
              <w:spacing w:line="276" w:lineRule="auto"/>
              <w:rPr>
                <w:rFonts w:ascii="Arial" w:hAnsi="Arial" w:cs="Arial"/>
                <w:color w:val="005596"/>
                <w:lang w:val="fr-CH"/>
              </w:rPr>
            </w:pPr>
            <w:r>
              <w:rPr>
                <w:rFonts w:ascii="Arial" w:hAnsi="Arial" w:cs="Arial"/>
                <w:color w:val="005596"/>
                <w:lang w:val="fr-CH"/>
              </w:rPr>
              <w:t xml:space="preserve">La base de calcul permettant de déterminer les intérêts calculés sur les actifs immobilisés correspond aux actifs immobilisés nécessaires à l’exploitation et repose sur </w:t>
            </w:r>
          </w:p>
          <w:p>
            <w:pPr>
              <w:pStyle w:val="tabellegt"/>
              <w:numPr>
                <w:ilvl w:val="0"/>
                <w:numId w:val="28"/>
              </w:numPr>
              <w:spacing w:line="276" w:lineRule="auto"/>
              <w:rPr>
                <w:rFonts w:ascii="Arial" w:hAnsi="Arial" w:cs="Arial"/>
                <w:color w:val="005596"/>
                <w:lang w:val="fr-CH"/>
              </w:rPr>
            </w:pPr>
            <w:proofErr w:type="gramStart"/>
            <w:r>
              <w:rPr>
                <w:rFonts w:ascii="Arial" w:hAnsi="Arial" w:cs="Arial"/>
                <w:color w:val="005596"/>
                <w:lang w:val="fr-CH"/>
              </w:rPr>
              <w:t>l’état</w:t>
            </w:r>
            <w:proofErr w:type="gramEnd"/>
            <w:r>
              <w:rPr>
                <w:rFonts w:ascii="Arial" w:hAnsi="Arial" w:cs="Arial"/>
                <w:color w:val="005596"/>
                <w:lang w:val="fr-CH"/>
              </w:rPr>
              <w:t xml:space="preserve"> moyen du capital investi dans les actifs immobilisés</w:t>
            </w:r>
            <w:r>
              <w:rPr>
                <w:rFonts w:ascii="Arial" w:hAnsi="Arial" w:cs="Arial"/>
                <w:color w:val="005596"/>
                <w:lang w:val="fr-CH"/>
              </w:rPr>
              <w:t>.</w:t>
            </w:r>
          </w:p>
          <w:p>
            <w:pPr>
              <w:pStyle w:val="tabellegt"/>
              <w:spacing w:line="276" w:lineRule="auto"/>
              <w:rPr>
                <w:rFonts w:ascii="Arial" w:hAnsi="Arial" w:cs="Arial"/>
                <w:color w:val="005596"/>
                <w:lang w:val="fr-CH"/>
              </w:rPr>
            </w:pPr>
          </w:p>
          <w:p>
            <w:pPr>
              <w:pStyle w:val="tabellegt"/>
              <w:spacing w:line="276" w:lineRule="auto"/>
              <w:rPr>
                <w:rFonts w:ascii="Arial" w:hAnsi="Arial" w:cs="Arial"/>
                <w:color w:val="005596"/>
                <w:lang w:val="fr-CH"/>
              </w:rPr>
            </w:pPr>
            <w:r>
              <w:rPr>
                <w:rFonts w:ascii="Arial" w:hAnsi="Arial" w:cs="Arial"/>
                <w:color w:val="005292"/>
                <w:lang w:val="fr-CH"/>
              </w:rPr>
              <w:t>Les intérêts calculés ne sont pas indexés.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986206539"/>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prise en compte des impôts sur la fortune et des impôts indirects comme des coûts équivalents en termes de charges et aucun impôt sur le bénéfice, comme coûts dans la comptabilité analytique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247723597"/>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 xml:space="preserve">Vérification pour les systèmes de rémunération </w:t>
            </w:r>
            <w:proofErr w:type="gramStart"/>
            <w:r>
              <w:rPr>
                <w:rFonts w:ascii="Arial" w:hAnsi="Arial" w:cs="Arial"/>
                <w:lang w:val="fr-CH"/>
              </w:rPr>
              <w:t>forfaitaire:</w:t>
            </w:r>
            <w:proofErr w:type="gramEnd"/>
            <w:r>
              <w:rPr>
                <w:rFonts w:ascii="Arial" w:hAnsi="Arial" w:cs="Arial"/>
                <w:lang w:val="fr-CH"/>
              </w:rPr>
              <w:t xml:space="preserve"> les ajustements des travaux en cours sont-ils conformes aux critères indiqués au chapitre </w:t>
            </w:r>
            <w:r>
              <w:rPr>
                <w:rStyle w:val="ExpertGrundschrift"/>
                <w:rFonts w:ascii="Arial" w:hAnsi="Arial" w:cs="Arial"/>
                <w:lang w:val="fr-CH"/>
              </w:rPr>
              <w:t>5.6.6</w:t>
            </w:r>
            <w:r>
              <w:rPr>
                <w:rFonts w:ascii="Arial" w:hAnsi="Arial" w:cs="Arial"/>
                <w:lang w:val="fr-CH"/>
              </w:rPr>
              <w:t xml:space="preserve"> Ajustement et évaluation des travaux en cours.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bl>
    <w:p>
      <w:pPr>
        <w:spacing w:line="276" w:lineRule="auto"/>
        <w:rPr>
          <w:lang w:val="fr-CH"/>
        </w:rPr>
      </w:pPr>
      <w:r>
        <w:rPr>
          <w:b/>
          <w:bCs/>
          <w:lang w:val="fr-CH"/>
        </w:rPr>
        <w:br w:type="page"/>
      </w:r>
    </w:p>
    <w:tbl>
      <w:tblPr>
        <w:tblW w:w="9798" w:type="dxa"/>
        <w:tblInd w:w="108" w:type="dxa"/>
        <w:tblLayout w:type="fixed"/>
        <w:tblCellMar>
          <w:left w:w="0" w:type="dxa"/>
          <w:right w:w="0" w:type="dxa"/>
        </w:tblCellMar>
        <w:tblLook w:val="0000" w:firstRow="0" w:lastRow="0" w:firstColumn="0" w:lastColumn="0" w:noHBand="0" w:noVBand="0"/>
      </w:tblPr>
      <w:tblGrid>
        <w:gridCol w:w="675"/>
        <w:gridCol w:w="6401"/>
        <w:gridCol w:w="2722"/>
      </w:tblGrid>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pPr>
              <w:pStyle w:val="tabelletitel"/>
              <w:spacing w:line="276" w:lineRule="auto"/>
              <w:rPr>
                <w:rFonts w:ascii="Arial" w:hAnsi="Arial" w:cs="Arial"/>
                <w:lang w:val="fr-CH"/>
              </w:rPr>
            </w:pPr>
            <w:r>
              <w:rPr>
                <w:rStyle w:val="ExpertLight"/>
                <w:rFonts w:ascii="Arial" w:hAnsi="Arial" w:cs="Arial"/>
                <w:lang w:val="fr-CH"/>
              </w:rPr>
              <w:lastRenderedPageBreak/>
              <w:t>6</w:t>
            </w:r>
          </w:p>
        </w:tc>
        <w:tc>
          <w:tcPr>
            <w:tcW w:w="6401"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19" w:type="dxa"/>
            </w:tcMar>
          </w:tcPr>
          <w:p>
            <w:pPr>
              <w:pStyle w:val="tabelletitel"/>
              <w:spacing w:line="276" w:lineRule="auto"/>
              <w:rPr>
                <w:rFonts w:ascii="Arial" w:hAnsi="Arial" w:cs="Arial"/>
                <w:lang w:val="fr-CH"/>
              </w:rPr>
            </w:pPr>
            <w:r>
              <w:rPr>
                <w:rFonts w:ascii="Arial" w:hAnsi="Arial" w:cs="Arial"/>
                <w:lang w:val="fr-CH"/>
              </w:rPr>
              <w:t>La comptabilité des charges par nature</w:t>
            </w:r>
          </w:p>
        </w:tc>
        <w:tc>
          <w:tcPr>
            <w:tcW w:w="2722"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pPr>
              <w:pStyle w:val="tabelletitel"/>
              <w:spacing w:line="276" w:lineRule="auto"/>
              <w:rPr>
                <w:rFonts w:ascii="Arial" w:hAnsi="Arial" w:cs="Arial"/>
                <w:lang w:val="fr-CH"/>
              </w:rPr>
            </w:pPr>
            <w:r>
              <w:rPr>
                <w:rFonts w:ascii="Arial" w:hAnsi="Arial" w:cs="Arial"/>
                <w:lang w:val="fr-CH"/>
              </w:rPr>
              <w:t>Remarques</w:t>
            </w: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6.1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Principes de base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6.2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Tâches de la comptabilité des charges par nature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6.3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Structure des charges par nature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404136575"/>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Documentation de la saisie et de l’évaluation uniforme des charges par nature ainsi que leur structuration en fonction de leur origine (coûts primaires/secondaires)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6.4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 xml:space="preserve">Le plan des charges par nature </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1322"/>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845709222"/>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Plan des charges par nature selon la structure REKOLE</w:t>
            </w:r>
            <w:r>
              <w:rPr>
                <w:rFonts w:ascii="Arial" w:hAnsi="Arial" w:cs="Arial"/>
                <w:vertAlign w:val="superscript"/>
                <w:lang w:val="fr-CH"/>
              </w:rPr>
              <w:t>®</w:t>
            </w:r>
            <w:r>
              <w:rPr>
                <w:rFonts w:ascii="Arial" w:hAnsi="Arial" w:cs="Arial"/>
                <w:lang w:val="fr-CH"/>
              </w:rPr>
              <w:t>, lorsqu’il y a des centres de charges facultatifs, il faut s’assurer d’en garantir le regroupement au niveau obligatoire.</w:t>
            </w:r>
          </w:p>
          <w:p>
            <w:pPr>
              <w:pStyle w:val="tabellegt"/>
              <w:spacing w:line="276" w:lineRule="auto"/>
              <w:rPr>
                <w:rFonts w:ascii="Arial" w:hAnsi="Arial" w:cs="Arial"/>
                <w:lang w:val="fr-CH"/>
              </w:rPr>
            </w:pPr>
          </w:p>
          <w:p>
            <w:pPr>
              <w:pStyle w:val="tabellegt"/>
              <w:spacing w:line="276" w:lineRule="auto"/>
              <w:rPr>
                <w:rFonts w:ascii="Arial" w:hAnsi="Arial" w:cs="Arial"/>
                <w:lang w:val="fr-CH"/>
              </w:rPr>
            </w:pPr>
            <w:proofErr w:type="gramStart"/>
            <w:r>
              <w:rPr>
                <w:rFonts w:ascii="Arial" w:hAnsi="Arial" w:cs="Arial"/>
                <w:color w:val="005596"/>
                <w:lang w:val="fr-CH"/>
              </w:rPr>
              <w:t>Note:</w:t>
            </w:r>
            <w:proofErr w:type="gramEnd"/>
            <w:r>
              <w:rPr>
                <w:rFonts w:ascii="Arial" w:hAnsi="Arial" w:cs="Arial"/>
                <w:color w:val="005596"/>
                <w:lang w:val="fr-CH"/>
              </w:rPr>
              <w:t xml:space="preserve"> </w:t>
            </w:r>
            <w:r>
              <w:rPr>
                <w:rFonts w:ascii="Arial" w:hAnsi="Arial" w:cs="Arial"/>
                <w:color w:val="005596"/>
                <w:lang w:val="fr-CH"/>
              </w:rPr>
              <w:t>La numérotation des charges par nature est obligatoire.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17"/>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6.5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Structure en fonction de la nature de l’attribution</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052114149"/>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 xml:space="preserve">Vérification de l’identification des coûts directs </w:t>
            </w:r>
            <w:r>
              <w:rPr>
                <w:rFonts w:ascii="Arial" w:hAnsi="Arial" w:cs="Arial"/>
                <w:lang w:val="fr-CH"/>
              </w:rPr>
              <w:t xml:space="preserve">(en tenant compte de la méthode ABC) </w:t>
            </w:r>
            <w:r>
              <w:rPr>
                <w:rFonts w:ascii="Arial" w:hAnsi="Arial" w:cs="Arial"/>
                <w:lang w:val="fr-CH"/>
              </w:rPr>
              <w:t>selon le manuel REKOLE</w:t>
            </w:r>
            <w:r>
              <w:rPr>
                <w:rFonts w:ascii="Arial" w:hAnsi="Arial" w:cs="Arial"/>
                <w:vertAlign w:val="superscript"/>
                <w:lang w:val="fr-CH"/>
              </w:rPr>
              <w:t>®</w:t>
            </w:r>
          </w:p>
          <w:p>
            <w:pPr>
              <w:pStyle w:val="tabellegt"/>
              <w:spacing w:line="276" w:lineRule="auto"/>
              <w:rPr>
                <w:rFonts w:ascii="Arial" w:hAnsi="Arial" w:cs="Arial"/>
                <w:lang w:val="fr-CH"/>
              </w:rPr>
            </w:pPr>
          </w:p>
          <w:p>
            <w:pPr>
              <w:pStyle w:val="tabellegt"/>
              <w:spacing w:line="276" w:lineRule="auto"/>
              <w:rPr>
                <w:rFonts w:ascii="Arial" w:hAnsi="Arial" w:cs="Arial"/>
                <w:lang w:val="fr-CH"/>
              </w:rPr>
            </w:pPr>
            <w:proofErr w:type="gramStart"/>
            <w:r>
              <w:rPr>
                <w:rFonts w:ascii="Arial" w:hAnsi="Arial" w:cs="Arial"/>
                <w:color w:val="005596"/>
                <w:lang w:val="fr-CH"/>
              </w:rPr>
              <w:t>Note:</w:t>
            </w:r>
            <w:proofErr w:type="gramEnd"/>
            <w:r>
              <w:rPr>
                <w:rFonts w:ascii="Arial" w:hAnsi="Arial" w:cs="Arial"/>
                <w:color w:val="005596"/>
                <w:lang w:val="fr-CH"/>
              </w:rPr>
              <w:t xml:space="preserve"> cf. aussi chapitre 10.9 </w:t>
            </w:r>
            <w:r>
              <w:rPr>
                <w:rStyle w:val="bold"/>
                <w:rFonts w:ascii="Arial" w:hAnsi="Arial" w:cs="Arial"/>
                <w:b w:val="0"/>
                <w:bCs w:val="0"/>
                <w:color w:val="005596"/>
                <w:lang w:val="fr-CH"/>
              </w:rPr>
              <w:t xml:space="preserve">Médicaments, implants, sang, matériel, </w:t>
            </w:r>
            <w:r>
              <w:rPr>
                <w:rStyle w:val="bold"/>
                <w:rFonts w:ascii="Arial" w:hAnsi="Arial" w:cs="Arial"/>
                <w:b w:val="0"/>
                <w:bCs w:val="0"/>
                <w:color w:val="005596"/>
                <w:lang w:val="fr-CH"/>
              </w:rPr>
              <w:t>etc.</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521"/>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08167498"/>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lang w:val="fr-CH"/>
              </w:rPr>
            </w:pPr>
            <w:proofErr w:type="gramStart"/>
            <w:r>
              <w:rPr>
                <w:rFonts w:cs="Arial"/>
                <w:color w:val="000000"/>
                <w:sz w:val="18"/>
                <w:szCs w:val="18"/>
                <w:lang w:val="fr-CH"/>
              </w:rPr>
              <w:t>Vérification:</w:t>
            </w:r>
            <w:proofErr w:type="gramEnd"/>
            <w:r>
              <w:rPr>
                <w:rFonts w:cs="Arial"/>
                <w:color w:val="000000"/>
                <w:sz w:val="18"/>
                <w:szCs w:val="18"/>
                <w:lang w:val="fr-CH"/>
              </w:rPr>
              <w:t xml:space="preserve"> les produits de valeur des groupes de charges par nature 400–404 sont périodiquement vérifiés et mis à jour au regard de leur attribution en tant que</w:t>
            </w:r>
            <w:r>
              <w:rPr>
                <w:rFonts w:cs="Arial"/>
                <w:color w:val="000000"/>
                <w:sz w:val="18"/>
                <w:szCs w:val="18"/>
                <w:lang w:val="fr-CH"/>
              </w:rPr>
              <w:t xml:space="preserve"> charges directes ou indirectes</w:t>
            </w:r>
            <w:r>
              <w:rPr>
                <w:rFonts w:cs="Arial"/>
                <w:color w:val="000000"/>
                <w:sz w:val="18"/>
                <w:szCs w:val="18"/>
                <w:lang w:val="fr-CH"/>
              </w:rPr>
              <w:t>.</w:t>
            </w:r>
          </w:p>
          <w:p>
            <w:pPr>
              <w:autoSpaceDE w:val="0"/>
              <w:autoSpaceDN w:val="0"/>
              <w:adjustRightInd w:val="0"/>
              <w:spacing w:line="276" w:lineRule="auto"/>
              <w:textAlignment w:val="center"/>
              <w:rPr>
                <w:rFonts w:cs="Arial"/>
                <w:color w:val="000000"/>
                <w:sz w:val="18"/>
                <w:szCs w:val="18"/>
                <w:lang w:val="fr-CH"/>
              </w:rPr>
            </w:pPr>
          </w:p>
          <w:p>
            <w:pPr>
              <w:pStyle w:val="tabellegt"/>
              <w:spacing w:line="276" w:lineRule="auto"/>
              <w:rPr>
                <w:rFonts w:ascii="Arial" w:hAnsi="Arial" w:cs="Arial"/>
                <w:color w:val="005596"/>
                <w:lang w:val="fr-CH"/>
              </w:rPr>
            </w:pPr>
            <w:r>
              <w:rPr>
                <w:rFonts w:ascii="Arial" w:hAnsi="Arial" w:cs="Arial"/>
                <w:color w:val="005596"/>
                <w:lang w:val="fr-CH"/>
              </w:rPr>
              <w:t xml:space="preserve">Pour les hôpitaux de réseau </w:t>
            </w:r>
            <w:proofErr w:type="spellStart"/>
            <w:r>
              <w:rPr>
                <w:rFonts w:ascii="Arial" w:hAnsi="Arial" w:cs="Arial"/>
                <w:color w:val="005596"/>
                <w:lang w:val="fr-CH"/>
              </w:rPr>
              <w:t>SwissDRG</w:t>
            </w:r>
            <w:proofErr w:type="spellEnd"/>
            <w:r>
              <w:rPr>
                <w:rFonts w:ascii="Arial" w:hAnsi="Arial" w:cs="Arial"/>
                <w:color w:val="005596"/>
                <w:lang w:val="fr-CH"/>
              </w:rPr>
              <w:t xml:space="preserve"> dans le secteur des soins somatiques aigus</w:t>
            </w:r>
            <w:r>
              <w:rPr>
                <w:rFonts w:ascii="Arial" w:hAnsi="Arial" w:cs="Arial"/>
                <w:color w:val="005596"/>
                <w:lang w:val="fr-CH"/>
              </w:rPr>
              <w:t xml:space="preserve"> s’applique en </w:t>
            </w:r>
            <w:proofErr w:type="gramStart"/>
            <w:r>
              <w:rPr>
                <w:rFonts w:ascii="Arial" w:hAnsi="Arial" w:cs="Arial"/>
                <w:color w:val="005596"/>
                <w:lang w:val="fr-CH"/>
              </w:rPr>
              <w:t>plus</w:t>
            </w:r>
            <w:r>
              <w:rPr>
                <w:rFonts w:ascii="Arial" w:hAnsi="Arial" w:cs="Arial"/>
                <w:color w:val="005596"/>
                <w:lang w:val="fr-CH"/>
              </w:rPr>
              <w:t>:</w:t>
            </w:r>
            <w:proofErr w:type="gramEnd"/>
            <w:r>
              <w:rPr>
                <w:rFonts w:ascii="Arial" w:hAnsi="Arial" w:cs="Arial"/>
                <w:color w:val="005596"/>
                <w:lang w:val="fr-CH"/>
              </w:rPr>
              <w:t xml:space="preserve"> </w:t>
            </w:r>
          </w:p>
          <w:p>
            <w:pPr>
              <w:pStyle w:val="tabellegt"/>
              <w:spacing w:line="276" w:lineRule="auto"/>
              <w:rPr>
                <w:rFonts w:ascii="Arial" w:hAnsi="Arial" w:cs="Arial"/>
                <w:color w:val="005596"/>
                <w:lang w:val="fr-CH"/>
              </w:rPr>
            </w:pPr>
            <w:r>
              <w:rPr>
                <w:rFonts w:ascii="Arial" w:hAnsi="Arial" w:cs="Arial"/>
                <w:color w:val="005596"/>
                <w:lang w:val="fr-CH"/>
              </w:rPr>
              <w:t xml:space="preserve">Les produits de valeur dont les coûts totaux ([prix d’achat x quantité consommée] + supplément pour frais généraux) dépassent </w:t>
            </w:r>
            <w:r>
              <w:rPr>
                <w:rFonts w:ascii="Arial" w:hAnsi="Arial" w:cs="Arial"/>
                <w:color w:val="005596"/>
                <w:lang w:val="fr-CH"/>
              </w:rPr>
              <w:t xml:space="preserve">CHF 200 par cas (font exception les implants, y compris le matériel d’ostéosynthèse, pour lesquels la limite est fixée à CHF 50) </w:t>
            </w:r>
            <w:r>
              <w:rPr>
                <w:rFonts w:ascii="Arial" w:hAnsi="Arial" w:cs="Arial"/>
                <w:color w:val="005596"/>
                <w:lang w:val="fr-CH"/>
              </w:rPr>
              <w:t>doivent être comptabilisés dans tous les cas comme coûts directs (exigence minimale).</w:t>
            </w:r>
          </w:p>
          <w:p>
            <w:pPr>
              <w:pStyle w:val="tabellegt"/>
              <w:spacing w:line="276" w:lineRule="auto"/>
              <w:rPr>
                <w:rFonts w:ascii="Arial" w:hAnsi="Arial" w:cs="Arial"/>
                <w:color w:val="005596"/>
                <w:lang w:val="fr-CH"/>
              </w:rPr>
            </w:pPr>
          </w:p>
          <w:p>
            <w:pPr>
              <w:pStyle w:val="tabellegt"/>
              <w:spacing w:line="276" w:lineRule="auto"/>
              <w:rPr>
                <w:rFonts w:ascii="Arial" w:hAnsi="Arial" w:cs="Arial"/>
                <w:color w:val="005596"/>
                <w:lang w:val="fr-CH"/>
              </w:rPr>
            </w:pPr>
            <w:r>
              <w:rPr>
                <w:rFonts w:ascii="Arial" w:hAnsi="Arial" w:cs="Arial"/>
                <w:color w:val="005596"/>
                <w:lang w:val="fr-CH"/>
              </w:rPr>
              <w:t>Les produits de valeur issus des charges par nature 400 Médicaments (y compris</w:t>
            </w:r>
            <w:r>
              <w:rPr>
                <w:rFonts w:ascii="Arial" w:hAnsi="Arial" w:cs="Arial"/>
                <w:color w:val="005596"/>
                <w:lang w:val="fr-CH"/>
              </w:rPr>
              <w:t xml:space="preserve"> le sang et les</w:t>
            </w:r>
            <w:r>
              <w:rPr>
                <w:rFonts w:ascii="Arial" w:hAnsi="Arial" w:cs="Arial"/>
                <w:color w:val="005596"/>
                <w:lang w:val="fr-CH"/>
              </w:rPr>
              <w:t xml:space="preserve"> produits sanguins), 401 Matériel, instruments, ustensiles, textiles ou 404 Produits chimiques, réactifs, </w:t>
            </w:r>
            <w:r>
              <w:rPr>
                <w:rFonts w:ascii="Arial" w:hAnsi="Arial" w:cs="Arial"/>
                <w:color w:val="005596"/>
                <w:lang w:val="fr-CH"/>
              </w:rPr>
              <w:t xml:space="preserve">qui </w:t>
            </w:r>
            <w:r>
              <w:rPr>
                <w:rFonts w:ascii="Arial" w:hAnsi="Arial" w:cs="Arial"/>
                <w:color w:val="005596"/>
                <w:lang w:val="fr-CH"/>
              </w:rPr>
              <w:t xml:space="preserve">sont financés séparément au cours d’un même traitement, doivent être comptabilisés comme coûts directs, indépendamment de leur classification selon la méthode ABC. Cela concerne </w:t>
            </w:r>
            <w:r>
              <w:rPr>
                <w:rFonts w:ascii="Arial" w:hAnsi="Arial" w:cs="Arial"/>
                <w:color w:val="005596"/>
                <w:lang w:val="fr-CH"/>
              </w:rPr>
              <w:t>principalement</w:t>
            </w:r>
            <w:r>
              <w:rPr>
                <w:rFonts w:ascii="Arial" w:hAnsi="Arial" w:cs="Arial"/>
                <w:color w:val="005596"/>
                <w:lang w:val="fr-CH"/>
              </w:rPr>
              <w:t xml:space="preserve"> les produits figurant sur les listes tenues par </w:t>
            </w:r>
            <w:proofErr w:type="spellStart"/>
            <w:r>
              <w:rPr>
                <w:rFonts w:ascii="Arial" w:hAnsi="Arial" w:cs="Arial"/>
                <w:color w:val="005596"/>
                <w:lang w:val="fr-CH"/>
              </w:rPr>
              <w:t>SwissDRG</w:t>
            </w:r>
            <w:proofErr w:type="spellEnd"/>
            <w:r>
              <w:rPr>
                <w:rFonts w:ascii="Arial" w:hAnsi="Arial" w:cs="Arial"/>
                <w:color w:val="005596"/>
                <w:lang w:val="fr-CH"/>
              </w:rPr>
              <w:t xml:space="preserve"> (cf. </w:t>
            </w:r>
            <w:proofErr w:type="spellStart"/>
            <w:r>
              <w:rPr>
                <w:rFonts w:ascii="Arial" w:hAnsi="Arial" w:cs="Arial"/>
                <w:color w:val="005596"/>
                <w:lang w:val="fr-CH"/>
              </w:rPr>
              <w:t>Swiss</w:t>
            </w:r>
            <w:r>
              <w:rPr>
                <w:rFonts w:ascii="Arial" w:hAnsi="Arial" w:cs="Arial"/>
                <w:color w:val="005596"/>
                <w:lang w:val="fr-CH"/>
              </w:rPr>
              <w:t>DRG</w:t>
            </w:r>
            <w:proofErr w:type="spellEnd"/>
            <w:r>
              <w:rPr>
                <w:rFonts w:ascii="Arial" w:hAnsi="Arial" w:cs="Arial"/>
                <w:color w:val="005596"/>
                <w:lang w:val="fr-CH"/>
              </w:rPr>
              <w:t>, liste des produits)</w:t>
            </w:r>
            <w:r>
              <w:rPr>
                <w:rFonts w:ascii="Arial" w:hAnsi="Arial" w:cs="Arial"/>
                <w:color w:val="005596"/>
                <w:lang w:val="fr-CH"/>
              </w:rPr>
              <w:t>.</w:t>
            </w:r>
            <w:r>
              <w:rPr>
                <w:rFonts w:ascii="Arial" w:hAnsi="Arial" w:cs="Arial"/>
                <w:color w:val="005596"/>
                <w:lang w:val="fr-CH"/>
              </w:rPr>
              <w:t xml:space="preserve"> </w:t>
            </w:r>
          </w:p>
          <w:p>
            <w:pPr>
              <w:pStyle w:val="tabellegt"/>
              <w:spacing w:line="276" w:lineRule="auto"/>
              <w:rPr>
                <w:rFonts w:ascii="Arial" w:hAnsi="Arial" w:cs="Arial"/>
                <w:lang w:val="fr-CH"/>
              </w:rPr>
            </w:pP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115869640"/>
              <w14:checkbox>
                <w14:checked w14:val="0"/>
                <w14:checkedState w14:val="2612" w14:font="MS Gothic"/>
                <w14:uncheckedState w14:val="2610" w14:font="MS Gothic"/>
              </w14:checkbox>
            </w:sdtPr>
            <w:sdtEndPr/>
            <w:sdtContent>
              <w:p>
                <w:pPr>
                  <w:pStyle w:val="tabellegt"/>
                  <w:spacing w:line="276" w:lineRule="auto"/>
                  <w:rPr>
                    <w:rFonts w:cs="Arial"/>
                    <w:lang w:val="fr-CH"/>
                  </w:rPr>
                </w:pPr>
                <w:r>
                  <w:rPr>
                    <w:rFonts w:ascii="MS Gothic" w:eastAsia="MS Gothic" w:hAnsi="MS Gothic" w:cs="Arial" w:hint="eastAsia"/>
                    <w:lang w:val="fr-CH"/>
                  </w:rPr>
                  <w:t>☐</w:t>
                </w:r>
              </w:p>
            </w:sdtContent>
          </w:sdt>
          <w:p>
            <w:pPr>
              <w:pStyle w:val="tabellegt"/>
              <w:spacing w:line="276" w:lineRule="auto"/>
              <w:rPr>
                <w:rFonts w:ascii="Arial" w:hAnsi="Arial" w:cs="Arial"/>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En ce qui concerne les services de soins ou les salles d’opération pouvant disposer de stocks de produits A et B, il convient de s’assurer qu’ils n’ont aucune influence sur la détermination des taux de charges des centres de charges obligatoires.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234198655"/>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Vérification de l’imputation des frais de personnel, des charges d’utilisation des immobilisations et des autres charges matériels aux centres de charges compte tenu du lien de causalité</w:t>
            </w:r>
          </w:p>
          <w:p>
            <w:pPr>
              <w:pStyle w:val="tabellegt"/>
              <w:spacing w:line="276" w:lineRule="auto"/>
              <w:rPr>
                <w:rFonts w:ascii="Arial" w:hAnsi="Arial" w:cs="Arial"/>
                <w:lang w:val="fr-CH"/>
              </w:rPr>
            </w:pP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lastRenderedPageBreak/>
              <w:t>6.6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Directives d’attribution des charges indirectes et des revenus par nature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048988350"/>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 xml:space="preserve">Documentation </w:t>
            </w:r>
            <w:r>
              <w:rPr>
                <w:rFonts w:ascii="Arial" w:hAnsi="Arial" w:cs="Arial"/>
                <w:lang w:val="fr-CH"/>
              </w:rPr>
              <w:t xml:space="preserve">des directives d’attribution </w:t>
            </w:r>
            <w:r>
              <w:rPr>
                <w:rFonts w:ascii="Arial" w:hAnsi="Arial" w:cs="Arial"/>
                <w:lang w:val="fr-CH"/>
              </w:rPr>
              <w:t>actualisée</w:t>
            </w:r>
            <w:r>
              <w:rPr>
                <w:rFonts w:ascii="Arial" w:hAnsi="Arial" w:cs="Arial"/>
                <w:lang w:val="fr-CH"/>
              </w:rPr>
              <w:t>s</w:t>
            </w:r>
            <w:r>
              <w:rPr>
                <w:rFonts w:ascii="Arial" w:hAnsi="Arial" w:cs="Arial"/>
                <w:lang w:val="fr-CH"/>
              </w:rPr>
              <w:t xml:space="preserve"> et propre</w:t>
            </w:r>
            <w:r>
              <w:rPr>
                <w:rFonts w:ascii="Arial" w:hAnsi="Arial" w:cs="Arial"/>
                <w:lang w:val="fr-CH"/>
              </w:rPr>
              <w:t>s</w:t>
            </w:r>
            <w:r>
              <w:rPr>
                <w:rFonts w:ascii="Arial" w:hAnsi="Arial" w:cs="Arial"/>
                <w:lang w:val="fr-CH"/>
              </w:rPr>
              <w:t xml:space="preserve"> à l’entreprise</w:t>
            </w:r>
            <w:r>
              <w:rPr>
                <w:rFonts w:ascii="Arial" w:hAnsi="Arial" w:cs="Arial"/>
                <w:lang w:val="fr-CH"/>
              </w:rPr>
              <w:t xml:space="preserve"> (p. ex. sous la forme</w:t>
            </w:r>
            <w:r>
              <w:rPr>
                <w:rFonts w:ascii="Arial" w:hAnsi="Arial" w:cs="Arial"/>
                <w:lang w:val="fr-CH"/>
              </w:rPr>
              <w:t xml:space="preserve"> d’une matrice d’attribution</w:t>
            </w:r>
            <w:r>
              <w:rPr>
                <w:rFonts w:ascii="Arial"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bl>
    <w:p>
      <w:pPr>
        <w:spacing w:line="276" w:lineRule="auto"/>
        <w:rPr>
          <w:lang w:val="fr-CH"/>
        </w:rPr>
      </w:pPr>
      <w:r>
        <w:rPr>
          <w:b/>
          <w:bCs/>
          <w:lang w:val="fr-CH"/>
        </w:rPr>
        <w:br w:type="page"/>
      </w:r>
    </w:p>
    <w:tbl>
      <w:tblPr>
        <w:tblW w:w="9798" w:type="dxa"/>
        <w:tblInd w:w="108" w:type="dxa"/>
        <w:tblLayout w:type="fixed"/>
        <w:tblCellMar>
          <w:left w:w="0" w:type="dxa"/>
          <w:right w:w="0" w:type="dxa"/>
        </w:tblCellMar>
        <w:tblLook w:val="0000" w:firstRow="0" w:lastRow="0" w:firstColumn="0" w:lastColumn="0" w:noHBand="0" w:noVBand="0"/>
      </w:tblPr>
      <w:tblGrid>
        <w:gridCol w:w="675"/>
        <w:gridCol w:w="6401"/>
        <w:gridCol w:w="2722"/>
      </w:tblGrid>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pPr>
              <w:pStyle w:val="tabelletitel"/>
              <w:spacing w:line="276" w:lineRule="auto"/>
              <w:rPr>
                <w:rFonts w:ascii="Arial" w:hAnsi="Arial" w:cs="Arial"/>
                <w:lang w:val="fr-CH"/>
              </w:rPr>
            </w:pPr>
            <w:r>
              <w:rPr>
                <w:rStyle w:val="ExpertLight"/>
                <w:rFonts w:ascii="Arial" w:hAnsi="Arial" w:cs="Arial"/>
                <w:lang w:val="fr-CH"/>
              </w:rPr>
              <w:lastRenderedPageBreak/>
              <w:t>7</w:t>
            </w:r>
          </w:p>
        </w:tc>
        <w:tc>
          <w:tcPr>
            <w:tcW w:w="6401"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19" w:type="dxa"/>
            </w:tcMar>
          </w:tcPr>
          <w:p>
            <w:pPr>
              <w:pStyle w:val="tabelletitel"/>
              <w:spacing w:line="276" w:lineRule="auto"/>
              <w:rPr>
                <w:rFonts w:ascii="Arial" w:hAnsi="Arial" w:cs="Arial"/>
                <w:lang w:val="fr-CH"/>
              </w:rPr>
            </w:pPr>
            <w:r>
              <w:rPr>
                <w:rFonts w:ascii="Arial" w:hAnsi="Arial" w:cs="Arial"/>
                <w:lang w:val="fr-CH"/>
              </w:rPr>
              <w:t>La comptabilité des immobilisations</w:t>
            </w:r>
          </w:p>
        </w:tc>
        <w:tc>
          <w:tcPr>
            <w:tcW w:w="2722"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pPr>
              <w:pStyle w:val="tabelletitel"/>
              <w:spacing w:line="276" w:lineRule="auto"/>
              <w:rPr>
                <w:rFonts w:ascii="Arial" w:hAnsi="Arial" w:cs="Arial"/>
                <w:lang w:val="fr-CH"/>
              </w:rPr>
            </w:pPr>
            <w:r>
              <w:rPr>
                <w:rFonts w:ascii="Arial" w:hAnsi="Arial" w:cs="Arial"/>
                <w:lang w:val="fr-CH"/>
              </w:rPr>
              <w:t>Remarques</w:t>
            </w: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7.1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Amortissements au bilan et amortissements calculés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138"/>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7.2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Définitions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903741356"/>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Vérification des immobilisations dans la comptabilité des immobilisations selon les critères définis dans le manuel REKOLE</w:t>
            </w:r>
            <w:r>
              <w:rPr>
                <w:rFonts w:ascii="Arial" w:hAnsi="Arial" w:cs="Arial"/>
                <w:vertAlign w:val="superscript"/>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525902424"/>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Si un tableau d’amortissement exis</w:t>
            </w:r>
            <w:r>
              <w:rPr>
                <w:rFonts w:ascii="Arial" w:hAnsi="Arial" w:cs="Arial"/>
                <w:lang w:val="fr-CH"/>
              </w:rPr>
              <w:t xml:space="preserve">te, il doit contenir au </w:t>
            </w:r>
            <w:proofErr w:type="gramStart"/>
            <w:r>
              <w:rPr>
                <w:rFonts w:ascii="Arial" w:hAnsi="Arial" w:cs="Arial"/>
                <w:lang w:val="fr-CH"/>
              </w:rPr>
              <w:t>minimum</w:t>
            </w:r>
            <w:r>
              <w:rPr>
                <w:rFonts w:ascii="Arial" w:hAnsi="Arial" w:cs="Arial"/>
                <w:lang w:val="fr-CH"/>
              </w:rPr>
              <w:t>:</w:t>
            </w:r>
            <w:proofErr w:type="gramEnd"/>
          </w:p>
          <w:p>
            <w:pPr>
              <w:pStyle w:val="tabellegt"/>
              <w:numPr>
                <w:ilvl w:val="0"/>
                <w:numId w:val="28"/>
              </w:numPr>
              <w:spacing w:line="276" w:lineRule="auto"/>
              <w:rPr>
                <w:rFonts w:ascii="Arial" w:hAnsi="Arial" w:cs="Arial"/>
                <w:lang w:val="fr-CH"/>
              </w:rPr>
            </w:pPr>
            <w:r>
              <w:rPr>
                <w:rFonts w:ascii="Arial" w:hAnsi="Arial" w:cs="Arial"/>
                <w:lang w:val="fr-CH"/>
              </w:rPr>
              <w:t>La méthode d’amortissement (linéaire)</w:t>
            </w:r>
          </w:p>
          <w:p>
            <w:pPr>
              <w:pStyle w:val="tabellegt"/>
              <w:numPr>
                <w:ilvl w:val="0"/>
                <w:numId w:val="28"/>
              </w:numPr>
              <w:spacing w:line="276" w:lineRule="auto"/>
              <w:rPr>
                <w:rFonts w:ascii="Arial" w:hAnsi="Arial" w:cs="Arial"/>
                <w:lang w:val="fr-CH"/>
              </w:rPr>
            </w:pPr>
            <w:r>
              <w:rPr>
                <w:rFonts w:ascii="Arial" w:hAnsi="Arial" w:cs="Arial"/>
                <w:lang w:val="fr-CH"/>
              </w:rPr>
              <w:t>Les taux d’amortissement</w:t>
            </w:r>
          </w:p>
          <w:p>
            <w:pPr>
              <w:pStyle w:val="tabellegt"/>
              <w:numPr>
                <w:ilvl w:val="0"/>
                <w:numId w:val="28"/>
              </w:numPr>
              <w:spacing w:line="276" w:lineRule="auto"/>
              <w:rPr>
                <w:rFonts w:ascii="Arial" w:hAnsi="Arial" w:cs="Arial"/>
                <w:lang w:val="fr-CH"/>
              </w:rPr>
            </w:pPr>
            <w:r>
              <w:rPr>
                <w:rFonts w:ascii="Arial" w:hAnsi="Arial" w:cs="Arial"/>
                <w:lang w:val="fr-CH"/>
              </w:rPr>
              <w:t>Le montant de l’amortissement</w:t>
            </w:r>
          </w:p>
          <w:p>
            <w:pPr>
              <w:pStyle w:val="tabellegt"/>
              <w:spacing w:line="276" w:lineRule="auto"/>
              <w:rPr>
                <w:rFonts w:ascii="Arial" w:hAnsi="Arial" w:cs="Arial"/>
                <w:lang w:val="fr-CH"/>
              </w:rPr>
            </w:pPr>
          </w:p>
          <w:p>
            <w:pPr>
              <w:pStyle w:val="tabellegt"/>
              <w:spacing w:line="276" w:lineRule="auto"/>
              <w:rPr>
                <w:rFonts w:ascii="Arial" w:hAnsi="Arial" w:cs="Arial"/>
                <w:lang w:val="fr-CH"/>
              </w:rPr>
            </w:pPr>
            <w:proofErr w:type="gramStart"/>
            <w:r>
              <w:rPr>
                <w:rFonts w:ascii="Arial" w:hAnsi="Arial" w:cs="Arial"/>
                <w:color w:val="005596"/>
                <w:lang w:val="fr-CH"/>
              </w:rPr>
              <w:t>Note:</w:t>
            </w:r>
            <w:proofErr w:type="gramEnd"/>
            <w:r>
              <w:rPr>
                <w:rFonts w:ascii="Arial" w:hAnsi="Arial" w:cs="Arial"/>
                <w:color w:val="005596"/>
                <w:lang w:val="fr-CH"/>
              </w:rPr>
              <w:t xml:space="preserve"> les amortissements calculés sont déterminés au moyen de la durée d’utilisation économique moyenne normative et sont appliqués de manière linéaire tant que l’immobilisation est utilisée (au sens de l’utilité pour l’exploitation) [REK 10_015]). Il n’y a pas d’amortissements extraordinaires au bilan, d’amortissements exceptionnels au bilan.</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123457760"/>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 xml:space="preserve">S’il y a des objets en </w:t>
            </w:r>
            <w:proofErr w:type="gramStart"/>
            <w:r>
              <w:rPr>
                <w:rFonts w:ascii="Arial" w:hAnsi="Arial" w:cs="Arial"/>
                <w:lang w:val="fr-CH"/>
              </w:rPr>
              <w:t>leasing:</w:t>
            </w:r>
            <w:proofErr w:type="gramEnd"/>
            <w:r>
              <w:rPr>
                <w:rFonts w:ascii="Arial" w:hAnsi="Arial" w:cs="Arial"/>
                <w:lang w:val="fr-CH"/>
              </w:rPr>
              <w:t xml:space="preserve"> vérifier si les exigences pour les leasings opérationnels et de financement correspondent aux directives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976099618"/>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les immobilisations sont amorties à partir du premier </w:t>
            </w:r>
            <w:r>
              <w:rPr>
                <w:rFonts w:ascii="Arial" w:hAnsi="Arial" w:cs="Arial"/>
                <w:lang w:val="fr-CH"/>
              </w:rPr>
              <w:t xml:space="preserve">du </w:t>
            </w:r>
            <w:r>
              <w:rPr>
                <w:rFonts w:ascii="Arial" w:hAnsi="Arial" w:cs="Arial"/>
                <w:lang w:val="fr-CH"/>
              </w:rPr>
              <w:t>mois de la mise en service de l’immobilisation</w:t>
            </w:r>
            <w:r>
              <w:rPr>
                <w:rFonts w:ascii="Arial" w:hAnsi="Arial" w:cs="Arial"/>
                <w:lang w:val="fr-CH"/>
              </w:rPr>
              <w:t>. En</w:t>
            </w:r>
            <w:r>
              <w:rPr>
                <w:rFonts w:ascii="Arial" w:hAnsi="Arial" w:cs="Arial"/>
                <w:lang w:val="fr-CH"/>
              </w:rPr>
              <w:t xml:space="preserve"> </w:t>
            </w:r>
            <w:r>
              <w:rPr>
                <w:rFonts w:ascii="Arial" w:hAnsi="Arial" w:cs="Arial"/>
                <w:lang w:val="fr-CH"/>
              </w:rPr>
              <w:t>cas de mise en service par étapes, il est procédé à un amortissement par étapes.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7.3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Délimitations au sein des immobilisations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58836655"/>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les immobilisations composées de plusieurs parties ne sont portées dans la comptabilité des immobilisations comme des immobilisations uniques que lorsque les différentes parties ne peuvent être utilisées qu’ensemble et qu’en règle générale elles ne peuvent être remplacées qu’ensemble.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184788930"/>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w:t>
            </w:r>
            <w:r>
              <w:rPr>
                <w:rStyle w:val="bold"/>
                <w:rFonts w:ascii="Arial" w:hAnsi="Arial" w:cs="Arial"/>
                <w:b w:val="0"/>
                <w:bCs w:val="0"/>
                <w:lang w:val="fr-CH"/>
              </w:rPr>
              <w:t>les investissements dans des immobilisations corporelles, qui augmentent durablement leur valeur marchande ou leur valeur d’usage ou qui prolongent significativement leur durée de vie, sont comptabilisés comme des immobilisations autonomes et sont amortis séparément</w:t>
            </w:r>
            <w:r>
              <w:rPr>
                <w:rStyle w:val="bold"/>
                <w:rFonts w:ascii="Arial" w:hAnsi="Arial" w:cs="Arial"/>
                <w:b w:val="0"/>
                <w:bCs w:val="0"/>
                <w:lang w:val="fr-CH"/>
              </w:rPr>
              <w:t xml:space="preserve"> dans la comptabilité</w:t>
            </w:r>
            <w:r>
              <w:rPr>
                <w:rStyle w:val="bold"/>
                <w:rFonts w:ascii="Arial" w:hAnsi="Arial" w:cs="Arial"/>
                <w:b w:val="0"/>
                <w:bCs w:val="0"/>
                <w:lang w:val="fr-CH"/>
              </w:rPr>
              <w:t xml:space="preserve"> des immobilisations</w:t>
            </w:r>
            <w:r>
              <w:rPr>
                <w:rStyle w:val="bold"/>
                <w:rFonts w:ascii="Arial" w:hAnsi="Arial" w:cs="Arial"/>
                <w:b w:val="0"/>
                <w:bCs w:val="0"/>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7.4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Données de base par immobilisation</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950773097"/>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les données de base correspondent aux exigences minimales selon REKOLE</w:t>
            </w:r>
            <w:r>
              <w:rPr>
                <w:rFonts w:ascii="Arial" w:hAnsi="Arial" w:cs="Arial"/>
                <w:vertAlign w:val="superscript"/>
                <w:lang w:val="fr-CH"/>
              </w:rPr>
              <w:t>®</w:t>
            </w:r>
            <w:r>
              <w:rPr>
                <w:rFonts w:ascii="Arial"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7.5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Catégories d’immobilisations et détermination des bases d’amortissement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519"/>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772512674"/>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les immobilisations sont structurées selon les catégories d’immobilisations prévues dans REKOLE</w:t>
            </w:r>
            <w:r>
              <w:rPr>
                <w:rFonts w:ascii="Arial" w:hAnsi="Arial" w:cs="Arial"/>
                <w:vertAlign w:val="superscript"/>
                <w:lang w:val="fr-CH"/>
              </w:rPr>
              <w:t>®</w:t>
            </w:r>
            <w:r>
              <w:rPr>
                <w:rFonts w:ascii="Arial"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071881503"/>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aucune immobilisation en dessous de la valeur fixée par l’OCP n’est prise en compte dans la catégorie d’immobilisations concernée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2060977891"/>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Le tableau d’amortissement présente la base d’amortissement pour les amortissements calculés selon les principes définis pour chaque catégorie d’immobilisations dans le manuel REKOLE</w:t>
            </w:r>
            <w:r>
              <w:rPr>
                <w:rFonts w:ascii="Arial" w:hAnsi="Arial" w:cs="Arial"/>
                <w:vertAlign w:val="superscript"/>
                <w:lang w:val="fr-CH"/>
              </w:rPr>
              <w:t>®</w:t>
            </w:r>
            <w:r>
              <w:rPr>
                <w:rFonts w:ascii="Arial" w:hAnsi="Arial" w:cs="Arial"/>
                <w:lang w:val="fr-CH"/>
              </w:rPr>
              <w:t xml:space="preserve"> et il est appliqué.</w:t>
            </w:r>
          </w:p>
          <w:p>
            <w:pPr>
              <w:pStyle w:val="tabellegt"/>
              <w:spacing w:line="276" w:lineRule="auto"/>
              <w:rPr>
                <w:rFonts w:ascii="Arial" w:hAnsi="Arial" w:cs="Arial"/>
                <w:color w:val="005596"/>
                <w:lang w:val="fr-CH"/>
              </w:rPr>
            </w:pPr>
          </w:p>
          <w:p>
            <w:pPr>
              <w:pStyle w:val="tabellegt"/>
              <w:spacing w:line="276" w:lineRule="auto"/>
              <w:rPr>
                <w:rFonts w:ascii="Arial" w:hAnsi="Arial" w:cs="Arial"/>
                <w:lang w:val="fr-CH"/>
              </w:rPr>
            </w:pPr>
            <w:proofErr w:type="gramStart"/>
            <w:r>
              <w:rPr>
                <w:rFonts w:ascii="Arial" w:hAnsi="Arial" w:cs="Arial"/>
                <w:color w:val="005596"/>
                <w:lang w:val="fr-CH"/>
              </w:rPr>
              <w:t>Note:</w:t>
            </w:r>
            <w:proofErr w:type="gramEnd"/>
            <w:r>
              <w:rPr>
                <w:rFonts w:ascii="Arial" w:hAnsi="Arial" w:cs="Arial"/>
                <w:color w:val="005596"/>
                <w:lang w:val="fr-CH"/>
              </w:rPr>
              <w:t xml:space="preserve"> Le justificatif des amortissements calculés des immobilisations des catégories d’immobilisations A1</w:t>
            </w:r>
            <w:r>
              <w:rPr>
                <w:rFonts w:ascii="Cambria Math" w:hAnsi="Cambria Math" w:cs="Cambria Math"/>
                <w:color w:val="005596"/>
                <w:lang w:val="fr-CH"/>
              </w:rPr>
              <w:t> </w:t>
            </w:r>
            <w:r>
              <w:rPr>
                <w:color w:val="005596"/>
                <w:lang w:val="fr-CH"/>
              </w:rPr>
              <w:t>–</w:t>
            </w:r>
            <w:r>
              <w:rPr>
                <w:rFonts w:ascii="Cambria Math" w:hAnsi="Cambria Math" w:cs="Cambria Math"/>
                <w:color w:val="005596"/>
                <w:lang w:val="fr-CH"/>
              </w:rPr>
              <w:t> </w:t>
            </w:r>
            <w:r>
              <w:rPr>
                <w:rFonts w:ascii="Arial" w:hAnsi="Arial" w:cs="Arial"/>
                <w:color w:val="005596"/>
                <w:lang w:val="fr-CH"/>
              </w:rPr>
              <w:t xml:space="preserve">An, C1 et C2 comprend obligatoirement le </w:t>
            </w:r>
            <w:r>
              <w:rPr>
                <w:rFonts w:ascii="Arial" w:hAnsi="Arial" w:cs="Arial"/>
                <w:color w:val="005596"/>
                <w:lang w:val="fr-CH"/>
              </w:rPr>
              <w:lastRenderedPageBreak/>
              <w:t>calcul suivant REKOLE</w:t>
            </w:r>
            <w:r>
              <w:rPr>
                <w:rFonts w:ascii="Arial" w:hAnsi="Arial" w:cs="Arial"/>
                <w:color w:val="005596"/>
                <w:vertAlign w:val="superscript"/>
                <w:lang w:val="fr-CH"/>
              </w:rPr>
              <w:t>®</w:t>
            </w:r>
            <w:r>
              <w:rPr>
                <w:rFonts w:ascii="Arial" w:hAnsi="Arial" w:cs="Arial"/>
                <w:color w:val="005596"/>
                <w:lang w:val="fr-CH"/>
              </w:rPr>
              <w:t xml:space="preserve"> et suivant l’OCP.</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7.6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Détermination des bases d’amortissement pour les amortissements calculés (résumé)</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7.7</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Détermination des intérêts calculés sur les actifs immobilisés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257239887"/>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 xml:space="preserve">Voir chapitre 5 </w:t>
            </w:r>
            <w:proofErr w:type="spellStart"/>
            <w:r>
              <w:rPr>
                <w:rFonts w:ascii="Arial" w:hAnsi="Arial" w:cs="Arial"/>
                <w:lang w:val="fr-CH"/>
              </w:rPr>
              <w:t>ss</w:t>
            </w:r>
            <w:proofErr w:type="spellEnd"/>
            <w:r>
              <w:rPr>
                <w:rFonts w:ascii="Arial"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7.8</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Charges d’utilisation des immobilisations déterminantes selon l’OCP</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7.9</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 xml:space="preserve">Détermination des charges d’utilisation des immobilisations (CUI) hospitalières déterminantes pour l’AOS, en tant que part des charges déterminantes pour l’AOS </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7.10</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 xml:space="preserve">Intégration des charges d’utilisation des immobilisations dans les coûts relatifs (groupeur </w:t>
            </w:r>
            <w:proofErr w:type="spellStart"/>
            <w:r>
              <w:rPr>
                <w:rStyle w:val="bold"/>
                <w:rFonts w:ascii="Arial" w:hAnsi="Arial" w:cs="Arial"/>
                <w:b/>
                <w:bCs/>
                <w:lang w:val="fr-CH"/>
              </w:rPr>
              <w:t>SwissDRG</w:t>
            </w:r>
            <w:proofErr w:type="spellEnd"/>
            <w:r>
              <w:rPr>
                <w:rStyle w:val="bold"/>
                <w:rFonts w:ascii="Arial" w:hAnsi="Arial" w:cs="Arial"/>
                <w:b/>
                <w:bCs/>
                <w:lang w:val="fr-CH"/>
              </w:rPr>
              <w:t xml:space="preserve">) </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bl>
    <w:p>
      <w:pPr>
        <w:spacing w:line="276" w:lineRule="auto"/>
        <w:rPr>
          <w:lang w:val="fr-CH"/>
        </w:rPr>
      </w:pPr>
      <w:r>
        <w:rPr>
          <w:b/>
          <w:bCs/>
          <w:lang w:val="fr-CH"/>
        </w:rPr>
        <w:br w:type="page"/>
      </w:r>
    </w:p>
    <w:tbl>
      <w:tblPr>
        <w:tblW w:w="9798" w:type="dxa"/>
        <w:tblInd w:w="108" w:type="dxa"/>
        <w:tblLayout w:type="fixed"/>
        <w:tblCellMar>
          <w:left w:w="0" w:type="dxa"/>
          <w:right w:w="0" w:type="dxa"/>
        </w:tblCellMar>
        <w:tblLook w:val="0000" w:firstRow="0" w:lastRow="0" w:firstColumn="0" w:lastColumn="0" w:noHBand="0" w:noVBand="0"/>
      </w:tblPr>
      <w:tblGrid>
        <w:gridCol w:w="675"/>
        <w:gridCol w:w="6401"/>
        <w:gridCol w:w="2722"/>
      </w:tblGrid>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pPr>
              <w:pStyle w:val="tabelletitel"/>
              <w:spacing w:line="276" w:lineRule="auto"/>
              <w:rPr>
                <w:rFonts w:ascii="Arial" w:hAnsi="Arial" w:cs="Arial"/>
                <w:lang w:val="fr-CH"/>
              </w:rPr>
            </w:pPr>
            <w:r>
              <w:rPr>
                <w:rStyle w:val="ExpertLight"/>
                <w:rFonts w:ascii="Arial" w:hAnsi="Arial" w:cs="Arial"/>
                <w:lang w:val="fr-CH"/>
              </w:rPr>
              <w:lastRenderedPageBreak/>
              <w:t>8</w:t>
            </w:r>
          </w:p>
        </w:tc>
        <w:tc>
          <w:tcPr>
            <w:tcW w:w="6401"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19" w:type="dxa"/>
            </w:tcMar>
          </w:tcPr>
          <w:p>
            <w:pPr>
              <w:pStyle w:val="tabelletitel"/>
              <w:spacing w:line="276" w:lineRule="auto"/>
              <w:rPr>
                <w:rFonts w:ascii="Arial" w:hAnsi="Arial" w:cs="Arial"/>
                <w:lang w:val="fr-CH"/>
              </w:rPr>
            </w:pPr>
            <w:r>
              <w:rPr>
                <w:rFonts w:ascii="Arial" w:hAnsi="Arial" w:cs="Arial"/>
                <w:lang w:val="fr-CH"/>
              </w:rPr>
              <w:t>La comptabilité par centre de charges</w:t>
            </w:r>
          </w:p>
        </w:tc>
        <w:tc>
          <w:tcPr>
            <w:tcW w:w="2722"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pPr>
              <w:pStyle w:val="tabelletitel"/>
              <w:spacing w:line="276" w:lineRule="auto"/>
              <w:rPr>
                <w:rFonts w:ascii="Arial" w:hAnsi="Arial" w:cs="Arial"/>
                <w:lang w:val="fr-CH"/>
              </w:rPr>
            </w:pPr>
            <w:r>
              <w:rPr>
                <w:rFonts w:ascii="Arial" w:hAnsi="Arial" w:cs="Arial"/>
                <w:lang w:val="fr-CH"/>
              </w:rPr>
              <w:t>Remarques</w:t>
            </w: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8.1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Définitions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8.2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Principes concernant la structure des centres de charges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307"/>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8.3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Possibilités de regroupement des centres de charges facultatifs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315"/>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8.4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Le plan de centres de charges H+ comme niveau obligatoire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722954252"/>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Vérification des critères minimaux de structuration des centres de charges selon REKOLE</w:t>
            </w:r>
            <w:r>
              <w:rPr>
                <w:rFonts w:ascii="Arial" w:hAnsi="Arial" w:cs="Arial"/>
                <w:vertAlign w:val="superscript"/>
                <w:lang w:val="fr-CH"/>
              </w:rPr>
              <w:t>®</w:t>
            </w:r>
          </w:p>
          <w:p>
            <w:pPr>
              <w:pStyle w:val="tabellegt"/>
              <w:spacing w:line="276" w:lineRule="auto"/>
              <w:rPr>
                <w:rFonts w:ascii="Arial" w:hAnsi="Arial" w:cs="Arial"/>
                <w:lang w:val="fr-CH"/>
              </w:rPr>
            </w:pPr>
          </w:p>
          <w:p>
            <w:pPr>
              <w:pStyle w:val="tabellegt"/>
              <w:spacing w:line="276" w:lineRule="auto"/>
              <w:rPr>
                <w:rFonts w:ascii="Arial" w:hAnsi="Arial" w:cs="Arial"/>
                <w:lang w:val="fr-CH"/>
              </w:rPr>
            </w:pPr>
            <w:proofErr w:type="gramStart"/>
            <w:r>
              <w:rPr>
                <w:rFonts w:ascii="Arial" w:hAnsi="Arial" w:cs="Arial"/>
                <w:color w:val="005596"/>
                <w:lang w:val="fr-CH"/>
              </w:rPr>
              <w:t>Note:</w:t>
            </w:r>
            <w:proofErr w:type="gramEnd"/>
            <w:r>
              <w:rPr>
                <w:rFonts w:ascii="Arial" w:hAnsi="Arial" w:cs="Arial"/>
                <w:color w:val="005596"/>
                <w:lang w:val="fr-CH"/>
              </w:rPr>
              <w:t xml:space="preserve"> La structure des centres de charges obligatoires selon REKOLE</w:t>
            </w:r>
            <w:r>
              <w:rPr>
                <w:rFonts w:ascii="Arial" w:hAnsi="Arial" w:cs="Arial"/>
                <w:color w:val="005596"/>
                <w:vertAlign w:val="superscript"/>
                <w:lang w:val="fr-CH"/>
              </w:rPr>
              <w:t>®</w:t>
            </w:r>
            <w:r>
              <w:rPr>
                <w:rFonts w:ascii="Arial" w:hAnsi="Arial" w:cs="Arial"/>
                <w:color w:val="005596"/>
                <w:lang w:val="fr-CH"/>
              </w:rPr>
              <w:t xml:space="preserve"> doit impérativement être respectée, sauf si le contenu du groupe de charges obligatoire n’existe pas dans l’établissement (par exemple: salle OP dans une clinique psychiatrique) ou si la prestation décrite dans ledit groupe n’est pas fournie par l’établissement (REK 05_021).</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8.5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La structure des charges d’un centre de charges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842315949"/>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Vérification de la structure minimale des centres de charges selon REKOLE</w:t>
            </w:r>
            <w:r>
              <w:rPr>
                <w:rFonts w:ascii="Arial" w:hAnsi="Arial" w:cs="Arial"/>
                <w:vertAlign w:val="superscript"/>
                <w:lang w:val="fr-CH"/>
              </w:rPr>
              <w:t>®</w:t>
            </w:r>
            <w:r>
              <w:rPr>
                <w:rFonts w:ascii="Arial" w:hAnsi="Arial" w:cs="Arial"/>
                <w:lang w:val="fr-CH"/>
              </w:rPr>
              <w:t xml:space="preserve"> (coûts de centres de charges directs, indirects, coûts secondaires)</w:t>
            </w:r>
          </w:p>
          <w:p>
            <w:pPr>
              <w:pStyle w:val="tabellegt"/>
              <w:spacing w:line="276" w:lineRule="auto"/>
              <w:rPr>
                <w:rFonts w:ascii="Arial" w:hAnsi="Arial" w:cs="Arial"/>
                <w:lang w:val="fr-CH"/>
              </w:rPr>
            </w:pPr>
          </w:p>
          <w:p>
            <w:pPr>
              <w:pStyle w:val="tabellegt"/>
              <w:spacing w:line="276" w:lineRule="auto"/>
              <w:rPr>
                <w:rFonts w:ascii="Arial" w:hAnsi="Arial" w:cs="Arial"/>
                <w:lang w:val="fr-CH"/>
              </w:rPr>
            </w:pPr>
            <w:proofErr w:type="gramStart"/>
            <w:r>
              <w:rPr>
                <w:rFonts w:ascii="Arial" w:hAnsi="Arial" w:cs="Arial"/>
                <w:color w:val="005596"/>
                <w:lang w:val="fr-CH"/>
              </w:rPr>
              <w:t>Note:</w:t>
            </w:r>
            <w:proofErr w:type="gramEnd"/>
            <w:r>
              <w:rPr>
                <w:rFonts w:ascii="Arial" w:hAnsi="Arial" w:cs="Arial"/>
                <w:color w:val="005596"/>
                <w:lang w:val="fr-CH"/>
              </w:rPr>
              <w:t xml:space="preserve"> Les remises pour le personnel doivent être déterminées au moins périodiquement et la différence avec le prix du marché doit être imputée aux centres de charges appropriés de manière conforme au lien de causalité.</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673074958"/>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 xml:space="preserve">Vérification des prestations internes de l’établissement eu </w:t>
            </w:r>
            <w:r>
              <w:rPr>
                <w:rFonts w:ascii="Arial" w:hAnsi="Arial" w:cs="Arial"/>
                <w:lang w:val="fr-CH"/>
              </w:rPr>
              <w:t>égard au</w:t>
            </w:r>
            <w:r>
              <w:rPr>
                <w:rFonts w:ascii="Arial" w:hAnsi="Arial" w:cs="Arial"/>
                <w:lang w:val="fr-CH"/>
              </w:rPr>
              <w:t xml:space="preserve"> respect du lien de causalité pour la répartition entre prestations de services produites et celles vendues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8.6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Contenu et format des centres de charges obligatoires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769688978"/>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Documentation des contenus des centres de charges obligatoires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285740860"/>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garantir que les centres de charges facultatifs sont regroupés dans les centres de charges obligatoires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641301917"/>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attribution correcte des coûts aux blocs de charges correspondants (</w:t>
            </w:r>
            <w:r>
              <w:rPr>
                <w:rFonts w:ascii="Arial" w:hAnsi="Arial" w:cs="Arial"/>
                <w:lang w:val="fr-CH"/>
              </w:rPr>
              <w:sym w:font="Wingdings" w:char="F0E0"/>
            </w:r>
            <w:r>
              <w:rPr>
                <w:rFonts w:ascii="Arial" w:hAnsi="Arial" w:cs="Arial"/>
                <w:lang w:val="fr-CH"/>
              </w:rPr>
              <w:t xml:space="preserve"> justificatif séparé des charges d’utilisation des immobilisations)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308"/>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2046662584"/>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les prestations sont attribuées correctement aux blocs de prestations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2129228059"/>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l’imputation des coûts et des prestations correspond au moins à la variante minimale selon REKOLE</w:t>
            </w:r>
            <w:r>
              <w:rPr>
                <w:rFonts w:ascii="Arial" w:hAnsi="Arial" w:cs="Arial"/>
                <w:vertAlign w:val="superscript"/>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494806807"/>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les valeurs de référence et quantités de prestations sont actualisées et enregistrées correctement dans le système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2103408582"/>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le calcul du taux de charges est appliqué correctement, du moins selon la variante minimale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780786339"/>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les destinataires de l’imputation concordent avec les prescriptions minimales des centres de charges obligatoires</w:t>
            </w:r>
            <w:r>
              <w:rPr>
                <w:rFonts w:ascii="Arial"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bl>
    <w:p>
      <w:pPr>
        <w:rPr>
          <w:lang w:val="fr-CH"/>
        </w:rPr>
      </w:pPr>
      <w:r>
        <w:rPr>
          <w:b/>
          <w:bCs/>
          <w:lang w:val="fr-CH"/>
        </w:rPr>
        <w:br w:type="page"/>
      </w:r>
    </w:p>
    <w:tbl>
      <w:tblPr>
        <w:tblW w:w="9798" w:type="dxa"/>
        <w:tblInd w:w="108" w:type="dxa"/>
        <w:tblLayout w:type="fixed"/>
        <w:tblCellMar>
          <w:left w:w="0" w:type="dxa"/>
          <w:right w:w="0" w:type="dxa"/>
        </w:tblCellMar>
        <w:tblLook w:val="0000" w:firstRow="0" w:lastRow="0" w:firstColumn="0" w:lastColumn="0" w:noHBand="0" w:noVBand="0"/>
      </w:tblPr>
      <w:tblGrid>
        <w:gridCol w:w="675"/>
        <w:gridCol w:w="6401"/>
        <w:gridCol w:w="2722"/>
      </w:tblGrid>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lastRenderedPageBreak/>
              <w:t>8.7</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Exploitations autonomes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884484420"/>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 xml:space="preserve">Lorsque l’institution gère des exploitations </w:t>
            </w:r>
            <w:proofErr w:type="gramStart"/>
            <w:r>
              <w:rPr>
                <w:rFonts w:ascii="Arial" w:hAnsi="Arial" w:cs="Arial"/>
                <w:lang w:val="fr-CH"/>
              </w:rPr>
              <w:t>autonomes:</w:t>
            </w:r>
            <w:proofErr w:type="gramEnd"/>
            <w:r>
              <w:rPr>
                <w:rFonts w:ascii="Arial" w:hAnsi="Arial" w:cs="Arial"/>
                <w:lang w:val="fr-CH"/>
              </w:rPr>
              <w:t xml:space="preserve"> </w:t>
            </w:r>
          </w:p>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ces domaines de prestations sont gérés comme exploitations autonomes dans la comptabilité analytique</w:t>
            </w:r>
            <w:r>
              <w:rPr>
                <w:rFonts w:ascii="Arial"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8.8</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Récapitulation de la méthode d’imputation</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8.9</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Traitement des différences de couverture au niveau des centres de charges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790978813"/>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 xml:space="preserve">Pour autant que l’hôpital gère une comptabilité analytique en coûts </w:t>
            </w:r>
            <w:proofErr w:type="gramStart"/>
            <w:r>
              <w:rPr>
                <w:rFonts w:ascii="Arial" w:hAnsi="Arial" w:cs="Arial"/>
                <w:lang w:val="fr-CH"/>
              </w:rPr>
              <w:t>normaux:</w:t>
            </w:r>
            <w:proofErr w:type="gramEnd"/>
            <w:r>
              <w:rPr>
                <w:rFonts w:ascii="Arial" w:hAnsi="Arial" w:cs="Arial"/>
                <w:lang w:val="fr-CH"/>
              </w:rPr>
              <w:t xml:space="preserve"> les différences de couverture sont établies au moins pour chaque centre de charges.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8.10</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Relevé des centres de charges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84192956"/>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le relevé des centres de charges contient au moins les éléments exigés par le manuel REKOLE</w:t>
            </w:r>
            <w:r>
              <w:rPr>
                <w:rFonts w:ascii="Arial" w:hAnsi="Arial" w:cs="Arial"/>
                <w:vertAlign w:val="superscript"/>
                <w:lang w:val="fr-CH"/>
              </w:rPr>
              <w:t>®</w:t>
            </w:r>
            <w:r>
              <w:rPr>
                <w:rFonts w:ascii="Arial" w:hAnsi="Arial" w:cs="Arial"/>
                <w:lang w:val="fr-CH"/>
              </w:rPr>
              <w:t>.</w:t>
            </w:r>
          </w:p>
          <w:p>
            <w:pPr>
              <w:pStyle w:val="tabellegt"/>
              <w:spacing w:line="276" w:lineRule="auto"/>
              <w:rPr>
                <w:rFonts w:ascii="Arial" w:hAnsi="Arial" w:cs="Arial"/>
                <w:lang w:val="fr-CH"/>
              </w:rPr>
            </w:pPr>
          </w:p>
          <w:p>
            <w:pPr>
              <w:pStyle w:val="tabellegt"/>
              <w:spacing w:line="276" w:lineRule="auto"/>
              <w:rPr>
                <w:rFonts w:ascii="Arial" w:hAnsi="Arial" w:cs="Arial"/>
                <w:color w:val="005596"/>
                <w:lang w:val="fr-CH"/>
              </w:rPr>
            </w:pPr>
            <w:proofErr w:type="gramStart"/>
            <w:r>
              <w:rPr>
                <w:rFonts w:ascii="Arial" w:hAnsi="Arial" w:cs="Arial"/>
                <w:color w:val="005596"/>
                <w:lang w:val="fr-CH"/>
              </w:rPr>
              <w:t>Note:</w:t>
            </w:r>
            <w:proofErr w:type="gramEnd"/>
            <w:r>
              <w:rPr>
                <w:rFonts w:ascii="Arial" w:hAnsi="Arial" w:cs="Arial"/>
                <w:color w:val="005596"/>
                <w:lang w:val="fr-CH"/>
              </w:rPr>
              <w:t xml:space="preserve"> Si des centres de charges obligatoires sont issus d’une agrégation, resp. </w:t>
            </w:r>
            <w:proofErr w:type="gramStart"/>
            <w:r>
              <w:rPr>
                <w:rFonts w:ascii="Arial" w:hAnsi="Arial" w:cs="Arial"/>
                <w:color w:val="005596"/>
                <w:lang w:val="fr-CH"/>
              </w:rPr>
              <w:t>d’un</w:t>
            </w:r>
            <w:proofErr w:type="gramEnd"/>
            <w:r>
              <w:rPr>
                <w:rFonts w:ascii="Arial" w:hAnsi="Arial" w:cs="Arial"/>
                <w:color w:val="005596"/>
                <w:lang w:val="fr-CH"/>
              </w:rPr>
              <w:t xml:space="preserve"> regroupement de centres de charges facultatifs ayant des unités d’</w:t>
            </w:r>
            <w:r>
              <w:rPr>
                <w:rFonts w:ascii="Arial" w:hAnsi="Arial" w:cs="Arial"/>
                <w:color w:val="005596"/>
                <w:lang w:val="fr-CH"/>
              </w:rPr>
              <w:t>œuvre</w:t>
            </w:r>
            <w:r>
              <w:rPr>
                <w:rFonts w:ascii="Arial" w:hAnsi="Arial" w:cs="Arial"/>
                <w:color w:val="005596"/>
                <w:lang w:val="fr-CH"/>
              </w:rPr>
              <w:t xml:space="preserve"> différentes, leurs champs «Taux de charges» et «Quantité» doivent rester vierges dans les relevés des centres de charges et des unités finales d’imputation (REK 10_011).</w:t>
            </w:r>
          </w:p>
          <w:p>
            <w:pPr>
              <w:pStyle w:val="tabellegt"/>
              <w:spacing w:line="276" w:lineRule="auto"/>
              <w:rPr>
                <w:rFonts w:ascii="Arial" w:hAnsi="Arial" w:cs="Arial"/>
                <w:color w:val="005596"/>
                <w:lang w:val="fr-CH"/>
              </w:rPr>
            </w:pPr>
          </w:p>
          <w:p>
            <w:pPr>
              <w:pStyle w:val="tabellegt"/>
              <w:spacing w:line="276" w:lineRule="auto"/>
              <w:rPr>
                <w:rFonts w:ascii="Arial" w:hAnsi="Arial" w:cs="Arial"/>
                <w:lang w:val="fr-CH"/>
              </w:rPr>
            </w:pPr>
            <w:r>
              <w:rPr>
                <w:rFonts w:ascii="Arial" w:hAnsi="Arial" w:cs="Arial"/>
                <w:color w:val="005596"/>
                <w:lang w:val="fr-CH"/>
              </w:rPr>
              <w:t xml:space="preserve">Les informations peuvent également être </w:t>
            </w:r>
            <w:r>
              <w:rPr>
                <w:rFonts w:ascii="Arial" w:hAnsi="Arial" w:cs="Arial"/>
                <w:color w:val="005596"/>
                <w:lang w:val="fr-CH"/>
              </w:rPr>
              <w:t>recueillies de plusieurs sources.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gt"/>
              <w:spacing w:line="276" w:lineRule="auto"/>
              <w:rPr>
                <w:rFonts w:ascii="Arial" w:hAnsi="Arial" w:cs="Arial"/>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r>
              <w:rPr>
                <w:rFonts w:ascii="Arial" w:hAnsi="Arial" w:cs="Arial"/>
                <w:lang w:val="fr-CH"/>
              </w:rPr>
              <w:t>:</w:t>
            </w:r>
            <w:proofErr w:type="gramEnd"/>
            <w:r>
              <w:rPr>
                <w:rFonts w:ascii="Arial" w:eastAsia="TheMix-HP3Lig" w:hAnsi="Arial" w:cs="Arial"/>
                <w:lang w:val="fr-CH"/>
              </w:rPr>
              <w:t xml:space="preserve"> Le principe de la valeur brute est respecté sur la base des centres de charges (</w:t>
            </w:r>
            <w:r>
              <w:rPr>
                <w:rFonts w:ascii="Arial" w:hAnsi="Arial" w:cs="Arial"/>
                <w:lang w:val="fr-CH"/>
              </w:rPr>
              <w:t>centres de charges fournisseurs de services, centres de charg</w:t>
            </w:r>
            <w:r>
              <w:rPr>
                <w:rFonts w:ascii="Arial" w:hAnsi="Arial" w:cs="Arial"/>
                <w:lang w:val="fr-CH"/>
              </w:rPr>
              <w:t>es fournisseurs de prestations).</w:t>
            </w:r>
          </w:p>
          <w:p>
            <w:pPr>
              <w:pStyle w:val="tabellegt"/>
              <w:spacing w:line="276" w:lineRule="auto"/>
              <w:rPr>
                <w:rFonts w:ascii="Arial" w:hAnsi="Arial" w:cs="Arial"/>
                <w:lang w:val="fr-CH"/>
              </w:rPr>
            </w:pPr>
          </w:p>
          <w:p>
            <w:pPr>
              <w:pStyle w:val="tabellegt"/>
              <w:spacing w:line="276" w:lineRule="auto"/>
              <w:rPr>
                <w:rFonts w:ascii="Arial" w:hAnsi="Arial" w:cs="Arial"/>
                <w:lang w:val="fr-CH"/>
              </w:rPr>
            </w:pPr>
            <w:proofErr w:type="gramStart"/>
            <w:r>
              <w:rPr>
                <w:rFonts w:ascii="Arial" w:hAnsi="Arial" w:cs="Arial"/>
                <w:color w:val="005596"/>
                <w:lang w:val="fr-CH"/>
              </w:rPr>
              <w:t>Note:</w:t>
            </w:r>
            <w:proofErr w:type="gramEnd"/>
            <w:r>
              <w:rPr>
                <w:rFonts w:ascii="Arial" w:hAnsi="Arial" w:cs="Arial"/>
                <w:color w:val="005596"/>
                <w:lang w:val="fr-CH"/>
              </w:rPr>
              <w:t xml:space="preserve"> Le principe de la valeur brute est respecté lorsqu’il n’y a aucune écriture de produit généré par des activités de marges sur la base des centres de charges. A cet égard, les exploitations annexes n’entrent pas en compte et sont gérées comme des mandats de centres de charges.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bl>
    <w:p>
      <w:pPr>
        <w:spacing w:line="276" w:lineRule="auto"/>
        <w:rPr>
          <w:lang w:val="fr-CH"/>
        </w:rPr>
      </w:pPr>
      <w:r>
        <w:rPr>
          <w:b/>
          <w:bCs/>
          <w:lang w:val="fr-CH"/>
        </w:rPr>
        <w:br w:type="page"/>
      </w:r>
    </w:p>
    <w:tbl>
      <w:tblPr>
        <w:tblW w:w="9798" w:type="dxa"/>
        <w:tblInd w:w="108" w:type="dxa"/>
        <w:tblLayout w:type="fixed"/>
        <w:tblCellMar>
          <w:left w:w="0" w:type="dxa"/>
          <w:right w:w="0" w:type="dxa"/>
        </w:tblCellMar>
        <w:tblLook w:val="0000" w:firstRow="0" w:lastRow="0" w:firstColumn="0" w:lastColumn="0" w:noHBand="0" w:noVBand="0"/>
      </w:tblPr>
      <w:tblGrid>
        <w:gridCol w:w="675"/>
        <w:gridCol w:w="6401"/>
        <w:gridCol w:w="2722"/>
      </w:tblGrid>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pPr>
              <w:pStyle w:val="tabelletitel"/>
              <w:spacing w:line="276" w:lineRule="auto"/>
              <w:rPr>
                <w:rFonts w:ascii="Arial" w:hAnsi="Arial" w:cs="Arial"/>
                <w:lang w:val="fr-CH"/>
              </w:rPr>
            </w:pPr>
            <w:r>
              <w:rPr>
                <w:rStyle w:val="ExpertLight"/>
                <w:rFonts w:ascii="Arial" w:hAnsi="Arial" w:cs="Arial"/>
                <w:lang w:val="fr-CH"/>
              </w:rPr>
              <w:lastRenderedPageBreak/>
              <w:t>9</w:t>
            </w:r>
          </w:p>
        </w:tc>
        <w:tc>
          <w:tcPr>
            <w:tcW w:w="6401"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19" w:type="dxa"/>
            </w:tcMar>
          </w:tcPr>
          <w:p>
            <w:pPr>
              <w:pStyle w:val="tabelletitel"/>
              <w:spacing w:line="276" w:lineRule="auto"/>
              <w:rPr>
                <w:rFonts w:ascii="Arial" w:hAnsi="Arial" w:cs="Arial"/>
                <w:lang w:val="fr-CH"/>
              </w:rPr>
            </w:pPr>
            <w:r>
              <w:rPr>
                <w:rFonts w:ascii="Arial" w:hAnsi="Arial" w:cs="Arial"/>
                <w:lang w:val="fr-CH"/>
              </w:rPr>
              <w:t>La comptabilité par unité finale d’imputation</w:t>
            </w:r>
          </w:p>
        </w:tc>
        <w:tc>
          <w:tcPr>
            <w:tcW w:w="2722"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pPr>
              <w:pStyle w:val="tabelletitel"/>
              <w:spacing w:line="276" w:lineRule="auto"/>
              <w:rPr>
                <w:rFonts w:ascii="Arial" w:hAnsi="Arial" w:cs="Arial"/>
                <w:lang w:val="fr-CH"/>
              </w:rPr>
            </w:pPr>
            <w:r>
              <w:rPr>
                <w:rFonts w:ascii="Arial" w:hAnsi="Arial" w:cs="Arial"/>
                <w:lang w:val="fr-CH"/>
              </w:rPr>
              <w:t>Remarques</w:t>
            </w: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9.1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Groupe de prestations liées au cas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901045413"/>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les prestations liées au cas (évaluation isolée de chaque cas administratif) sont toutes attribuées à un groupe de prestations avec un début et une fin de traitement.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9.2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Groupe de prestations non liées au cas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90434909"/>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les prestations non liées au cas sont toutes attribuées à un groupe de prestations. </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9.3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Le cas administratif</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645780960"/>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le cas administratif est la plus petite entité comptabilisable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9.4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But du cas administratif</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9.5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Délimitation du cas administratif</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308"/>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303"/>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9.6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Relation entre les différents types de cas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9.7</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Ensemble de règles du cas administratif</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1042"/>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2098971178"/>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la définition du cas appliquée correspond à l’ensemble de règles du cas administratif notamment:</w:t>
            </w:r>
          </w:p>
          <w:p>
            <w:pPr>
              <w:pStyle w:val="tabelleliste"/>
              <w:numPr>
                <w:ilvl w:val="0"/>
                <w:numId w:val="46"/>
              </w:numPr>
              <w:spacing w:line="276" w:lineRule="auto"/>
              <w:ind w:left="351"/>
              <w:rPr>
                <w:rFonts w:ascii="Arial" w:hAnsi="Arial" w:cs="Arial"/>
                <w:lang w:val="fr-CH"/>
              </w:rPr>
            </w:pPr>
            <w:r>
              <w:rPr>
                <w:rFonts w:ascii="Arial" w:hAnsi="Arial" w:cs="Arial"/>
                <w:lang w:val="fr-CH"/>
              </w:rPr>
              <w:t>Le début du traitement et la fin du traitement dans le domaine stationnaire correspondent-ils à l’admission et à la sortie physique du patient</w:t>
            </w:r>
          </w:p>
          <w:p>
            <w:pPr>
              <w:pStyle w:val="tabelleliste"/>
              <w:numPr>
                <w:ilvl w:val="0"/>
                <w:numId w:val="46"/>
              </w:numPr>
              <w:spacing w:line="276" w:lineRule="auto"/>
              <w:ind w:left="351"/>
              <w:rPr>
                <w:rFonts w:ascii="Arial" w:hAnsi="Arial" w:cs="Arial"/>
                <w:lang w:val="fr-CH"/>
              </w:rPr>
            </w:pPr>
            <w:r>
              <w:rPr>
                <w:rFonts w:ascii="Arial" w:hAnsi="Arial" w:cs="Arial"/>
                <w:lang w:val="fr-CH"/>
              </w:rPr>
              <w:t>Les nouveau-nés (jusqu’à un mois) et les nourrissons (d’un mois à un an) – qu’ils soient malades ou en bonne santé – font-ils l’objet de l’ouverture d’un cas séparé</w:t>
            </w:r>
          </w:p>
          <w:p>
            <w:pPr>
              <w:pStyle w:val="tabelleliste"/>
              <w:numPr>
                <w:ilvl w:val="0"/>
                <w:numId w:val="46"/>
              </w:numPr>
              <w:spacing w:line="276" w:lineRule="auto"/>
              <w:ind w:left="351"/>
              <w:rPr>
                <w:rFonts w:ascii="Arial" w:hAnsi="Arial" w:cs="Arial"/>
                <w:lang w:val="fr-CH"/>
              </w:rPr>
            </w:pPr>
            <w:r>
              <w:rPr>
                <w:rFonts w:ascii="Arial" w:hAnsi="Arial" w:cs="Arial"/>
                <w:lang w:val="fr-CH"/>
              </w:rPr>
              <w:t xml:space="preserve">La date de début de traitement et celle de fin de traitement dans le domaine ambulatoire </w:t>
            </w:r>
            <w:r>
              <w:rPr>
                <w:rFonts w:ascii="Arial" w:hAnsi="Arial" w:cs="Arial"/>
                <w:lang w:val="fr-CH"/>
              </w:rPr>
              <w:t>(</w:t>
            </w:r>
            <w:r>
              <w:rPr>
                <w:rFonts w:ascii="Arial" w:hAnsi="Arial" w:cs="Arial"/>
                <w:lang w:val="fr-CH"/>
              </w:rPr>
              <w:t>y compris les consultations téléphoniques</w:t>
            </w:r>
            <w:r>
              <w:rPr>
                <w:rFonts w:ascii="Arial" w:hAnsi="Arial" w:cs="Arial"/>
                <w:lang w:val="fr-CH"/>
              </w:rPr>
              <w:t xml:space="preserve">) </w:t>
            </w:r>
            <w:r>
              <w:rPr>
                <w:rFonts w:ascii="Arial" w:hAnsi="Arial" w:cs="Arial"/>
                <w:lang w:val="fr-CH"/>
              </w:rPr>
              <w:t>sont-elles conformes aux directives selon REKOLE</w:t>
            </w:r>
            <w:r>
              <w:rPr>
                <w:rFonts w:ascii="Arial" w:hAnsi="Arial" w:cs="Arial"/>
                <w:vertAlign w:val="superscript"/>
                <w:lang w:val="fr-CH"/>
              </w:rPr>
              <w:t>®</w:t>
            </w:r>
          </w:p>
          <w:p>
            <w:pPr>
              <w:pStyle w:val="tabelleliste"/>
              <w:numPr>
                <w:ilvl w:val="0"/>
                <w:numId w:val="46"/>
              </w:numPr>
              <w:spacing w:line="276" w:lineRule="auto"/>
              <w:ind w:left="351"/>
              <w:rPr>
                <w:rFonts w:ascii="Arial" w:hAnsi="Arial" w:cs="Arial"/>
                <w:lang w:val="fr-CH"/>
              </w:rPr>
            </w:pPr>
            <w:r>
              <w:rPr>
                <w:rFonts w:ascii="Arial" w:hAnsi="Arial" w:cs="Arial"/>
                <w:lang w:val="fr-CH"/>
              </w:rPr>
              <w:t>La garantie est-elle apportée qu’un changement de type d’assurance pendant le séjour hospitalier n’entraîne pas la création d’un nouveau cas administratif</w:t>
            </w:r>
          </w:p>
          <w:p>
            <w:pPr>
              <w:pStyle w:val="tabelleliste"/>
              <w:numPr>
                <w:ilvl w:val="0"/>
                <w:numId w:val="46"/>
              </w:numPr>
              <w:spacing w:line="276" w:lineRule="auto"/>
              <w:ind w:left="351"/>
              <w:rPr>
                <w:rFonts w:ascii="Arial" w:hAnsi="Arial" w:cs="Arial"/>
                <w:lang w:val="fr-CH"/>
              </w:rPr>
            </w:pPr>
            <w:r>
              <w:rPr>
                <w:rFonts w:ascii="Arial" w:hAnsi="Arial" w:cs="Arial"/>
                <w:lang w:val="fr-CH"/>
              </w:rPr>
              <w:t>La garantie est-elle apportée qu’un transfert interne dans un autre service pour des raisons organisationnelles ou ayant trait au diagnostic ne débouche pas sur la création d’un nouveau cas administratif</w:t>
            </w:r>
          </w:p>
          <w:p>
            <w:pPr>
              <w:pStyle w:val="tabelleliste"/>
              <w:numPr>
                <w:ilvl w:val="0"/>
                <w:numId w:val="46"/>
              </w:numPr>
              <w:spacing w:line="276" w:lineRule="auto"/>
              <w:ind w:left="351"/>
              <w:rPr>
                <w:rFonts w:ascii="Arial" w:hAnsi="Arial" w:cs="Arial"/>
                <w:lang w:val="fr-CH"/>
              </w:rPr>
            </w:pPr>
            <w:r>
              <w:rPr>
                <w:rFonts w:ascii="Arial" w:hAnsi="Arial" w:cs="Arial"/>
                <w:lang w:val="fr-CH"/>
              </w:rPr>
              <w:t>La garantie est-elle apportée qu’en fin d’exercice comptable, aucun cas administratif non encore clôturé n’est clôturé pour être rouvert en début d’année</w:t>
            </w:r>
          </w:p>
          <w:p>
            <w:pPr>
              <w:pStyle w:val="tabelleliste"/>
              <w:numPr>
                <w:ilvl w:val="0"/>
                <w:numId w:val="46"/>
              </w:numPr>
              <w:spacing w:line="276" w:lineRule="auto"/>
              <w:ind w:left="351"/>
              <w:rPr>
                <w:rFonts w:ascii="Arial" w:hAnsi="Arial" w:cs="Arial"/>
                <w:lang w:val="fr-CH"/>
              </w:rPr>
            </w:pPr>
            <w:r>
              <w:rPr>
                <w:rFonts w:ascii="Arial" w:hAnsi="Arial" w:cs="Arial"/>
                <w:lang w:val="fr-CH"/>
              </w:rPr>
              <w:t xml:space="preserve">En cas de réadmission pour cause de transfert dans l’intervalle de </w:t>
            </w:r>
            <w:r>
              <w:rPr>
                <w:rStyle w:val="ExpertGrundschrift"/>
                <w:rFonts w:ascii="Arial" w:hAnsi="Arial" w:cs="Arial"/>
                <w:lang w:val="fr-CH"/>
              </w:rPr>
              <w:t>24</w:t>
            </w:r>
            <w:r>
              <w:rPr>
                <w:rFonts w:ascii="Arial" w:hAnsi="Arial" w:cs="Arial"/>
                <w:lang w:val="fr-CH"/>
              </w:rPr>
              <w:t xml:space="preserve"> heures sans occupation de lit à minuit dans l’hôpital de transfert (dans l’intervalle de </w:t>
            </w:r>
            <w:r>
              <w:rPr>
                <w:rStyle w:val="ExpertGrundschrift"/>
                <w:rFonts w:ascii="Arial" w:hAnsi="Arial" w:cs="Arial"/>
                <w:lang w:val="fr-CH"/>
              </w:rPr>
              <w:t>14</w:t>
            </w:r>
            <w:r>
              <w:rPr>
                <w:rFonts w:ascii="Arial" w:hAnsi="Arial" w:cs="Arial"/>
                <w:lang w:val="fr-CH"/>
              </w:rPr>
              <w:t xml:space="preserve"> jours pour les cliniques de réadaptation), les prestations, coûts et produits continuent-ils à être enregistrés sous le même cas administratif</w:t>
            </w:r>
          </w:p>
          <w:p>
            <w:pPr>
              <w:pStyle w:val="tabelleliste"/>
              <w:numPr>
                <w:ilvl w:val="0"/>
                <w:numId w:val="46"/>
              </w:numPr>
              <w:spacing w:line="276" w:lineRule="auto"/>
              <w:ind w:left="351"/>
              <w:rPr>
                <w:rFonts w:ascii="Arial" w:hAnsi="Arial" w:cs="Arial"/>
                <w:lang w:val="fr-CH"/>
              </w:rPr>
            </w:pPr>
            <w:r>
              <w:rPr>
                <w:rFonts w:ascii="Arial" w:hAnsi="Arial" w:cs="Arial"/>
                <w:lang w:val="fr-CH"/>
              </w:rPr>
              <w:t xml:space="preserve">Un nouveau cas administratif est-il ouvert si </w:t>
            </w:r>
            <w:r>
              <w:rPr>
                <w:rFonts w:ascii="Arial" w:hAnsi="Arial" w:cs="Arial"/>
                <w:lang w:val="fr-CH"/>
              </w:rPr>
              <w:t>le patient ne revient qu’après un délai de 24 heures ou dans un intervalle de 24 heures avec occupation d’</w:t>
            </w:r>
            <w:r>
              <w:rPr>
                <w:rFonts w:ascii="Arial" w:hAnsi="Arial" w:cs="Arial"/>
                <w:lang w:val="fr-CH"/>
              </w:rPr>
              <w:t>un lit à minuit dans l’hôpital de transfert (dans l’intervalle de 14 jours pour</w:t>
            </w:r>
            <w:r>
              <w:rPr>
                <w:rFonts w:ascii="Arial" w:hAnsi="Arial" w:cs="Arial"/>
                <w:lang w:val="fr-CH"/>
              </w:rPr>
              <w:t xml:space="preserve"> les cliniques de réadaptation)</w:t>
            </w:r>
          </w:p>
          <w:p>
            <w:pPr>
              <w:pStyle w:val="tabelleliste"/>
              <w:numPr>
                <w:ilvl w:val="0"/>
                <w:numId w:val="46"/>
              </w:numPr>
              <w:spacing w:line="276" w:lineRule="auto"/>
              <w:ind w:left="351"/>
              <w:rPr>
                <w:rFonts w:ascii="Arial" w:hAnsi="Arial" w:cs="Arial"/>
                <w:lang w:val="fr-CH"/>
              </w:rPr>
            </w:pPr>
            <w:r>
              <w:rPr>
                <w:rFonts w:ascii="Arial" w:hAnsi="Arial" w:cs="Arial"/>
                <w:lang w:val="fr-CH"/>
              </w:rPr>
              <w:t>Un nouveau cas administratif est-il ouvert si le patient est réhospitalisé après être sorti de l’hôpital</w:t>
            </w:r>
          </w:p>
          <w:p>
            <w:pPr>
              <w:pStyle w:val="tabelleliste"/>
              <w:numPr>
                <w:ilvl w:val="0"/>
                <w:numId w:val="46"/>
              </w:numPr>
              <w:spacing w:line="276" w:lineRule="auto"/>
              <w:ind w:left="351"/>
              <w:rPr>
                <w:rFonts w:ascii="Arial" w:hAnsi="Arial" w:cs="Arial"/>
                <w:lang w:val="fr-CH"/>
              </w:rPr>
            </w:pPr>
            <w:r>
              <w:rPr>
                <w:rFonts w:ascii="Arial" w:hAnsi="Arial" w:cs="Arial"/>
                <w:lang w:val="fr-CH"/>
              </w:rPr>
              <w:t xml:space="preserve">La garantie est-elle apportée qu’aucun nouveau cas administratif n’est </w:t>
            </w:r>
            <w:r>
              <w:rPr>
                <w:rFonts w:ascii="Arial" w:hAnsi="Arial" w:cs="Arial"/>
                <w:lang w:val="fr-CH"/>
              </w:rPr>
              <w:lastRenderedPageBreak/>
              <w:t>ouvert pour un patient qui se trouve en congé</w:t>
            </w:r>
          </w:p>
          <w:p>
            <w:pPr>
              <w:pStyle w:val="tabelleliste"/>
              <w:numPr>
                <w:ilvl w:val="0"/>
                <w:numId w:val="47"/>
              </w:numPr>
              <w:spacing w:line="276" w:lineRule="auto"/>
              <w:ind w:left="351"/>
              <w:rPr>
                <w:rFonts w:ascii="Arial" w:hAnsi="Arial" w:cs="Arial"/>
                <w:lang w:val="fr-CH"/>
              </w:rPr>
            </w:pPr>
            <w:r>
              <w:rPr>
                <w:rFonts w:ascii="Arial" w:hAnsi="Arial" w:cs="Arial"/>
                <w:lang w:val="fr-CH"/>
              </w:rPr>
              <w:t>Un nouveau cas administratif est-il ouvert pour un patient si ce dernier ne nécessite plus des soins aigus et qu’il est par exemple transféré dans un service de soins de longue durée ou un établissement médico-social</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9.8</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Relevé de l’unité finale d’imputation du cas administratif</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476539197"/>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le relevé de l’unité finale d’imputation contient au moins les éléments exigés par le manuel REKOLE</w:t>
            </w:r>
            <w:r>
              <w:rPr>
                <w:rFonts w:ascii="Arial" w:hAnsi="Arial" w:cs="Arial"/>
                <w:vertAlign w:val="superscript"/>
                <w:lang w:val="fr-CH"/>
              </w:rPr>
              <w:t>®</w:t>
            </w:r>
            <w:r>
              <w:rPr>
                <w:rFonts w:ascii="Arial" w:hAnsi="Arial" w:cs="Arial"/>
                <w:lang w:val="fr-CH"/>
              </w:rPr>
              <w:t>.</w:t>
            </w:r>
          </w:p>
          <w:p>
            <w:pPr>
              <w:pStyle w:val="tabellegt"/>
              <w:spacing w:line="276" w:lineRule="auto"/>
              <w:rPr>
                <w:rFonts w:ascii="Arial" w:hAnsi="Arial" w:cs="Arial"/>
                <w:color w:val="005596"/>
                <w:lang w:val="fr-CH"/>
              </w:rPr>
            </w:pPr>
          </w:p>
          <w:p>
            <w:pPr>
              <w:pStyle w:val="tabellegt"/>
              <w:spacing w:line="276" w:lineRule="auto"/>
              <w:rPr>
                <w:rFonts w:ascii="Arial" w:hAnsi="Arial" w:cs="Arial"/>
                <w:color w:val="005596"/>
                <w:lang w:val="fr-CH"/>
              </w:rPr>
            </w:pPr>
            <w:proofErr w:type="gramStart"/>
            <w:r>
              <w:rPr>
                <w:rFonts w:ascii="Arial" w:hAnsi="Arial" w:cs="Arial"/>
                <w:color w:val="005596"/>
                <w:lang w:val="fr-CH"/>
              </w:rPr>
              <w:t>Note:</w:t>
            </w:r>
            <w:proofErr w:type="gramEnd"/>
            <w:r>
              <w:rPr>
                <w:rFonts w:ascii="Arial" w:hAnsi="Arial" w:cs="Arial"/>
                <w:color w:val="005596"/>
                <w:lang w:val="fr-CH"/>
              </w:rPr>
              <w:t xml:space="preserve"> </w:t>
            </w:r>
            <w:r>
              <w:rPr>
                <w:rFonts w:ascii="Arial" w:hAnsi="Arial" w:cs="Arial"/>
                <w:color w:val="005596"/>
                <w:lang w:val="fr-CH"/>
              </w:rPr>
              <w:t>Si le cas administratif ne correspond pas au cas tarifaire et si deux ou plusieurs cas administratifs sont regroupés afin de former le cas tarifaire, aucun revenu n’est imputé aux cas administratifs «originels» (cas administratifs avant regroupement). Le calcul de l’imputation des revenus sur les cas administratifs</w:t>
            </w:r>
            <w:proofErr w:type="gramStart"/>
            <w:r>
              <w:rPr>
                <w:rFonts w:ascii="Arial" w:hAnsi="Arial" w:cs="Arial"/>
                <w:color w:val="005596"/>
                <w:lang w:val="fr-CH"/>
              </w:rPr>
              <w:t xml:space="preserve"> «originels</w:t>
            </w:r>
            <w:proofErr w:type="gramEnd"/>
            <w:r>
              <w:rPr>
                <w:rFonts w:ascii="Arial" w:hAnsi="Arial" w:cs="Arial"/>
                <w:color w:val="005596"/>
                <w:lang w:val="fr-CH"/>
              </w:rPr>
              <w:t xml:space="preserve">» est une décision interne appartenant à la direction de l’établissement (REK 11_005). </w:t>
            </w:r>
          </w:p>
          <w:p>
            <w:pPr>
              <w:pStyle w:val="tabellegt"/>
              <w:spacing w:line="276" w:lineRule="auto"/>
              <w:rPr>
                <w:rFonts w:ascii="Arial" w:hAnsi="Arial" w:cs="Arial"/>
                <w:color w:val="005596"/>
                <w:lang w:val="fr-CH"/>
              </w:rPr>
            </w:pPr>
          </w:p>
          <w:p>
            <w:pPr>
              <w:pStyle w:val="tabellegt"/>
              <w:spacing w:line="276" w:lineRule="auto"/>
              <w:rPr>
                <w:rFonts w:ascii="Arial" w:hAnsi="Arial" w:cs="Arial"/>
                <w:color w:val="005596"/>
                <w:lang w:val="fr-CH"/>
              </w:rPr>
            </w:pPr>
            <w:r>
              <w:rPr>
                <w:rFonts w:ascii="Arial" w:hAnsi="Arial" w:cs="Arial"/>
                <w:color w:val="005596"/>
                <w:lang w:val="fr-CH"/>
              </w:rPr>
              <w:t xml:space="preserve">Si des centres de charges obligatoires sont composés d’une agrégation resp. </w:t>
            </w:r>
            <w:proofErr w:type="gramStart"/>
            <w:r>
              <w:rPr>
                <w:rFonts w:ascii="Arial" w:hAnsi="Arial" w:cs="Arial"/>
                <w:color w:val="005596"/>
                <w:lang w:val="fr-CH"/>
              </w:rPr>
              <w:t>d’un</w:t>
            </w:r>
            <w:proofErr w:type="gramEnd"/>
            <w:r>
              <w:rPr>
                <w:rFonts w:ascii="Arial" w:hAnsi="Arial" w:cs="Arial"/>
                <w:color w:val="005596"/>
                <w:lang w:val="fr-CH"/>
              </w:rPr>
              <w:t xml:space="preserve"> regroupement de centres de charges facultatifs présentant différentes unités d’</w:t>
            </w:r>
            <w:r>
              <w:rPr>
                <w:rFonts w:ascii="Arial" w:hAnsi="Arial" w:cs="Arial"/>
                <w:color w:val="005596"/>
                <w:lang w:val="fr-CH"/>
              </w:rPr>
              <w:t>œuvre</w:t>
            </w:r>
            <w:r>
              <w:rPr>
                <w:rFonts w:ascii="Arial" w:hAnsi="Arial" w:cs="Arial"/>
                <w:color w:val="005596"/>
                <w:lang w:val="fr-CH"/>
              </w:rPr>
              <w:t xml:space="preserve">, les champs correspondants «Taux de charges» et «Quantité» ne peuvent être remplis dans le relevé des unités finales d’imputation ou des centres de charges et doivent donc être laissés vierges (REK 10_011). </w:t>
            </w:r>
          </w:p>
          <w:p>
            <w:pPr>
              <w:pStyle w:val="tabellegt"/>
              <w:spacing w:line="276" w:lineRule="auto"/>
              <w:rPr>
                <w:rFonts w:ascii="Arial" w:hAnsi="Arial" w:cs="Arial"/>
                <w:color w:val="005596"/>
                <w:lang w:val="fr-CH"/>
              </w:rPr>
            </w:pPr>
          </w:p>
          <w:p>
            <w:pPr>
              <w:pStyle w:val="tabellegt"/>
              <w:spacing w:line="276" w:lineRule="auto"/>
              <w:rPr>
                <w:rFonts w:ascii="Arial" w:hAnsi="Arial" w:cs="Arial"/>
                <w:lang w:val="fr-CH"/>
              </w:rPr>
            </w:pPr>
            <w:r>
              <w:rPr>
                <w:rFonts w:ascii="Arial" w:hAnsi="Arial" w:cs="Arial"/>
                <w:color w:val="005596"/>
                <w:lang w:val="fr-CH"/>
              </w:rPr>
              <w:t>Les informations peuvent également être recueillies de plusieurs sources</w:t>
            </w:r>
            <w:r>
              <w:rPr>
                <w:rFonts w:ascii="Arial" w:hAnsi="Arial" w:cs="Arial"/>
                <w:color w:val="005596"/>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9.9</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Le cas tarifaire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135"/>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9.10</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Le mandat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987356181"/>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le mandat est, en plus du cas administratif, la plus petite entité comptabilisable.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833869722"/>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le contenu et la durée du mandat sont clairement délimités.</w:t>
            </w:r>
          </w:p>
          <w:p>
            <w:pPr>
              <w:pStyle w:val="tabellegt"/>
              <w:spacing w:line="276" w:lineRule="auto"/>
              <w:rPr>
                <w:rFonts w:ascii="Arial" w:hAnsi="Arial" w:cs="Arial"/>
                <w:lang w:val="fr-CH"/>
              </w:rPr>
            </w:pPr>
          </w:p>
          <w:p>
            <w:pPr>
              <w:autoSpaceDE w:val="0"/>
              <w:autoSpaceDN w:val="0"/>
              <w:adjustRightInd w:val="0"/>
              <w:spacing w:line="276" w:lineRule="auto"/>
              <w:rPr>
                <w:rFonts w:cs="Arial"/>
                <w:color w:val="005596"/>
                <w:sz w:val="18"/>
                <w:szCs w:val="18"/>
                <w:lang w:val="fr-CH"/>
              </w:rPr>
            </w:pPr>
            <w:proofErr w:type="gramStart"/>
            <w:r>
              <w:rPr>
                <w:color w:val="005596"/>
                <w:sz w:val="18"/>
                <w:lang w:val="fr-CH"/>
              </w:rPr>
              <w:t>Note:</w:t>
            </w:r>
            <w:proofErr w:type="gramEnd"/>
            <w:r>
              <w:rPr>
                <w:color w:val="005596"/>
                <w:sz w:val="18"/>
                <w:lang w:val="fr-CH"/>
              </w:rPr>
              <w:t xml:space="preserve"> Les hôpitaux universitaires et les hôpitaux avec des mandats universitaires et/ou des mandats de recherche de tiers doivent au moins gérer</w:t>
            </w:r>
            <w:r>
              <w:rPr>
                <w:color w:val="005596"/>
                <w:sz w:val="18"/>
                <w:lang w:val="fr-CH"/>
              </w:rPr>
              <w:t xml:space="preserve"> </w:t>
            </w:r>
            <w:r>
              <w:rPr>
                <w:color w:val="005596"/>
                <w:sz w:val="18"/>
                <w:lang w:val="fr-CH"/>
              </w:rPr>
              <w:t>les mandats pour les activités</w:t>
            </w:r>
            <w:r>
              <w:rPr>
                <w:color w:val="005596"/>
                <w:sz w:val="18"/>
                <w:lang w:val="fr-CH"/>
              </w:rPr>
              <w:t xml:space="preserve"> </w:t>
            </w:r>
            <w:r>
              <w:rPr>
                <w:color w:val="005596"/>
                <w:sz w:val="18"/>
                <w:lang w:val="fr-CH"/>
              </w:rPr>
              <w:t>de recherche</w:t>
            </w:r>
            <w:r>
              <w:rPr>
                <w:color w:val="005596"/>
                <w:sz w:val="18"/>
                <w:lang w:val="fr-CH"/>
              </w:rPr>
              <w:t xml:space="preserve"> </w:t>
            </w:r>
            <w:r>
              <w:rPr>
                <w:color w:val="005596"/>
                <w:sz w:val="18"/>
                <w:lang w:val="fr-CH"/>
              </w:rPr>
              <w:t xml:space="preserve">et </w:t>
            </w:r>
            <w:r>
              <w:rPr>
                <w:color w:val="005596"/>
                <w:sz w:val="18"/>
                <w:lang w:val="fr-CH"/>
              </w:rPr>
              <w:t>d’enseignement universitaire suivants:</w:t>
            </w:r>
          </w:p>
          <w:p>
            <w:pPr>
              <w:pStyle w:val="Listenabsatz"/>
              <w:numPr>
                <w:ilvl w:val="0"/>
                <w:numId w:val="29"/>
              </w:numPr>
              <w:autoSpaceDE w:val="0"/>
              <w:autoSpaceDN w:val="0"/>
              <w:adjustRightInd w:val="0"/>
              <w:spacing w:line="276" w:lineRule="auto"/>
              <w:ind w:left="210" w:hanging="219"/>
              <w:rPr>
                <w:color w:val="005596"/>
                <w:sz w:val="18"/>
                <w:lang w:val="fr-CH"/>
              </w:rPr>
            </w:pPr>
            <w:r>
              <w:rPr>
                <w:color w:val="005596"/>
                <w:sz w:val="18"/>
                <w:lang w:val="fr-CH"/>
              </w:rPr>
              <w:t>Formation universitaire de base (enseignement dispensé et formation reçue)</w:t>
            </w:r>
          </w:p>
          <w:p>
            <w:pPr>
              <w:pStyle w:val="Listenabsatz"/>
              <w:numPr>
                <w:ilvl w:val="0"/>
                <w:numId w:val="29"/>
              </w:numPr>
              <w:autoSpaceDE w:val="0"/>
              <w:autoSpaceDN w:val="0"/>
              <w:adjustRightInd w:val="0"/>
              <w:spacing w:line="276" w:lineRule="auto"/>
              <w:ind w:left="210" w:hanging="219"/>
              <w:rPr>
                <w:color w:val="005596"/>
                <w:sz w:val="18"/>
                <w:lang w:val="fr-CH"/>
              </w:rPr>
            </w:pPr>
            <w:r>
              <w:rPr>
                <w:color w:val="005596"/>
                <w:sz w:val="18"/>
                <w:lang w:val="fr-CH"/>
              </w:rPr>
              <w:t>Enseignement dispensé en formation postgrade</w:t>
            </w:r>
          </w:p>
          <w:p>
            <w:pPr>
              <w:pStyle w:val="Listenabsatz"/>
              <w:numPr>
                <w:ilvl w:val="0"/>
                <w:numId w:val="29"/>
              </w:numPr>
              <w:autoSpaceDE w:val="0"/>
              <w:autoSpaceDN w:val="0"/>
              <w:adjustRightInd w:val="0"/>
              <w:spacing w:line="276" w:lineRule="auto"/>
              <w:ind w:left="210" w:hanging="219"/>
              <w:rPr>
                <w:rFonts w:cs="Arial"/>
                <w:lang w:val="fr-CH"/>
              </w:rPr>
            </w:pPr>
            <w:r>
              <w:rPr>
                <w:color w:val="005596"/>
                <w:sz w:val="18"/>
                <w:lang w:val="fr-CH"/>
              </w:rPr>
              <w:t>Recherche, y compris le doctorat (</w:t>
            </w:r>
            <w:r>
              <w:rPr>
                <w:color w:val="005596"/>
                <w:sz w:val="18"/>
                <w:lang w:val="fr-CH"/>
              </w:rPr>
              <w:t xml:space="preserve">MD et </w:t>
            </w:r>
            <w:bookmarkStart w:id="0" w:name="_GoBack"/>
            <w:bookmarkEnd w:id="0"/>
            <w:r>
              <w:rPr>
                <w:color w:val="005596"/>
                <w:sz w:val="18"/>
                <w:lang w:val="fr-CH"/>
              </w:rPr>
              <w:t>PhD)</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61767061"/>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le relevé de l’unité finale d’imputation du mandat contient au moins les éléments exigés par le manuel REKOLE</w:t>
            </w:r>
            <w:r>
              <w:rPr>
                <w:rFonts w:ascii="Arial" w:hAnsi="Arial" w:cs="Arial"/>
                <w:vertAlign w:val="superscript"/>
                <w:lang w:val="fr-CH"/>
              </w:rPr>
              <w:t>®</w:t>
            </w:r>
            <w:r>
              <w:rPr>
                <w:rFonts w:ascii="Arial"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38"/>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9.11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Recherche et formation universitaire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sz w:val="18"/>
                <w:szCs w:val="18"/>
                <w:lang w:val="fr-CH"/>
              </w:rPr>
            </w:pPr>
            <w:r>
              <w:rPr>
                <w:sz w:val="18"/>
                <w:lang w:val="fr-CH"/>
              </w:rPr>
              <w:t xml:space="preserve">Les exigences ci-dessous s’appliquent pour tous les hôpitaux universitaires et hôpitaux avec des mandats universitaires et/ou des mandats de recherche de </w:t>
            </w:r>
            <w:proofErr w:type="gramStart"/>
            <w:r>
              <w:rPr>
                <w:sz w:val="18"/>
                <w:lang w:val="fr-CH"/>
              </w:rPr>
              <w:t>tiers:</w:t>
            </w:r>
            <w:proofErr w:type="gramEnd"/>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sdt>
          <w:sdtPr>
            <w:rPr>
              <w:rFonts w:ascii="Arial" w:hAnsi="Arial" w:cs="Arial"/>
              <w:color w:val="auto"/>
              <w:sz w:val="18"/>
              <w:szCs w:val="18"/>
            </w:rPr>
            <w:id w:val="-346326489"/>
            <w14:checkbox>
              <w14:checked w14:val="0"/>
              <w14:checkedState w14:val="2612" w14:font="Yu Gothic UI"/>
              <w14:uncheckedState w14:val="2610" w14:font="Yu Gothic UI"/>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rPr>
                </w:pPr>
                <w:r>
                  <w:rPr>
                    <w:rFonts w:ascii="MS Gothic" w:eastAsia="MS Gothic" w:hAnsi="MS Gothic" w:cs="Arial" w:hint="eastAsia"/>
                    <w:color w:val="auto"/>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sz w:val="18"/>
                <w:lang w:val="fr-CH"/>
              </w:rPr>
            </w:pPr>
            <w:r>
              <w:rPr>
                <w:sz w:val="18"/>
                <w:lang w:val="fr-CH"/>
              </w:rPr>
              <w:t xml:space="preserve">Documentation du relevé d’activités effectué. Le relevé ne doit pas remonter à plus de quatre ans. </w:t>
            </w:r>
            <w:r>
              <w:rPr>
                <w:sz w:val="18"/>
                <w:lang w:val="fr-CH"/>
              </w:rPr>
              <w:t>Le relevé des activités de formation universitaire selon l’art. 7 OCP concerne toutes les catégories professionnelles du personnel hospitalier dans le cadre de la formation de base théorique et pratique ainsi que dans le cadre de la formation postgrade des professions médicales universitaires</w:t>
            </w:r>
            <w:r>
              <w:rPr>
                <w:rStyle w:val="Funotenzeichen"/>
                <w:sz w:val="18"/>
                <w:lang w:val="fr-CH"/>
              </w:rPr>
              <w:footnoteReference w:id="1"/>
            </w:r>
            <w:r>
              <w:rPr>
                <w:sz w:val="18"/>
                <w:lang w:val="fr-CH"/>
              </w:rPr>
              <w:t xml:space="preserve"> définies dans la </w:t>
            </w:r>
            <w:proofErr w:type="spellStart"/>
            <w:r>
              <w:rPr>
                <w:sz w:val="18"/>
                <w:lang w:val="fr-CH"/>
              </w:rPr>
              <w:t>LPMéd</w:t>
            </w:r>
            <w:proofErr w:type="spellEnd"/>
          </w:p>
          <w:p>
            <w:pPr>
              <w:pStyle w:val="Listenabsatz"/>
              <w:numPr>
                <w:ilvl w:val="0"/>
                <w:numId w:val="40"/>
              </w:numPr>
              <w:autoSpaceDE w:val="0"/>
              <w:autoSpaceDN w:val="0"/>
              <w:adjustRightInd w:val="0"/>
              <w:spacing w:line="276" w:lineRule="auto"/>
              <w:ind w:left="210" w:hanging="219"/>
              <w:rPr>
                <w:sz w:val="18"/>
                <w:lang w:val="fr-CH"/>
              </w:rPr>
            </w:pPr>
            <w:proofErr w:type="gramStart"/>
            <w:r>
              <w:rPr>
                <w:sz w:val="18"/>
                <w:lang w:val="fr-CH"/>
              </w:rPr>
              <w:lastRenderedPageBreak/>
              <w:t>qui</w:t>
            </w:r>
            <w:proofErr w:type="gramEnd"/>
            <w:r>
              <w:rPr>
                <w:sz w:val="18"/>
                <w:lang w:val="fr-CH"/>
              </w:rPr>
              <w:t xml:space="preserve"> assument une activité d’enseignement (formation prodiguée, point de vue de l’enseignant) et </w:t>
            </w:r>
          </w:p>
          <w:p>
            <w:pPr>
              <w:pStyle w:val="Listenabsatz"/>
              <w:numPr>
                <w:ilvl w:val="0"/>
                <w:numId w:val="40"/>
              </w:numPr>
              <w:autoSpaceDE w:val="0"/>
              <w:autoSpaceDN w:val="0"/>
              <w:adjustRightInd w:val="0"/>
              <w:spacing w:line="276" w:lineRule="auto"/>
              <w:ind w:left="210" w:hanging="219"/>
              <w:rPr>
                <w:sz w:val="18"/>
                <w:lang w:val="fr-CH"/>
              </w:rPr>
            </w:pPr>
            <w:proofErr w:type="gramStart"/>
            <w:r>
              <w:rPr>
                <w:sz w:val="18"/>
                <w:lang w:val="fr-CH"/>
              </w:rPr>
              <w:t>les</w:t>
            </w:r>
            <w:proofErr w:type="gramEnd"/>
            <w:r>
              <w:rPr>
                <w:sz w:val="18"/>
                <w:lang w:val="fr-CH"/>
              </w:rPr>
              <w:t xml:space="preserve"> étudiants (formation reçue, point de vue de l’étudiant)</w:t>
            </w:r>
          </w:p>
          <w:p>
            <w:pPr>
              <w:autoSpaceDE w:val="0"/>
              <w:autoSpaceDN w:val="0"/>
              <w:adjustRightInd w:val="0"/>
              <w:spacing w:line="276" w:lineRule="auto"/>
              <w:rPr>
                <w:sz w:val="18"/>
                <w:lang w:val="fr-CH"/>
              </w:rPr>
            </w:pPr>
            <w:r>
              <w:rPr>
                <w:sz w:val="18"/>
                <w:lang w:val="fr-CH"/>
              </w:rPr>
              <w:t xml:space="preserve">L’analyse de la production jumelée doit être menée sans faille dans le cadre de l’analyse des activités pour la saisie des coûts d’exploitation relevant de l’AOS, resp. </w:t>
            </w:r>
            <w:proofErr w:type="gramStart"/>
            <w:r>
              <w:rPr>
                <w:sz w:val="18"/>
                <w:lang w:val="fr-CH"/>
              </w:rPr>
              <w:t>pour</w:t>
            </w:r>
            <w:proofErr w:type="gramEnd"/>
            <w:r>
              <w:rPr>
                <w:sz w:val="18"/>
                <w:lang w:val="fr-CH"/>
              </w:rPr>
              <w:t xml:space="preserve"> la saisie des coûts de la recherche et de la formation universitaire. </w:t>
            </w:r>
          </w:p>
          <w:p>
            <w:pPr>
              <w:autoSpaceDE w:val="0"/>
              <w:autoSpaceDN w:val="0"/>
              <w:adjustRightInd w:val="0"/>
              <w:spacing w:line="276" w:lineRule="auto"/>
              <w:rPr>
                <w:sz w:val="18"/>
                <w:lang w:val="fr-CH"/>
              </w:rPr>
            </w:pPr>
          </w:p>
          <w:p>
            <w:pPr>
              <w:autoSpaceDE w:val="0"/>
              <w:autoSpaceDN w:val="0"/>
              <w:adjustRightInd w:val="0"/>
              <w:spacing w:line="276" w:lineRule="auto"/>
              <w:rPr>
                <w:rFonts w:cs="Arial"/>
                <w:sz w:val="18"/>
                <w:szCs w:val="18"/>
                <w:lang w:val="fr-CH"/>
              </w:rPr>
            </w:pPr>
            <w:r>
              <w:rPr>
                <w:sz w:val="18"/>
                <w:lang w:val="fr-CH"/>
              </w:rPr>
              <w:t>Il doit au moins être divisé en</w:t>
            </w:r>
            <w:r>
              <w:rPr>
                <w:sz w:val="18"/>
                <w:lang w:val="fr-CH"/>
              </w:rPr>
              <w:t xml:space="preserve"> </w:t>
            </w:r>
            <w:r>
              <w:rPr>
                <w:sz w:val="18"/>
                <w:lang w:val="fr-CH"/>
              </w:rPr>
              <w:t>(</w:t>
            </w:r>
            <w:r>
              <w:rPr>
                <w:sz w:val="18"/>
                <w:lang w:val="fr-CH"/>
              </w:rPr>
              <w:t>prodiguée</w:t>
            </w:r>
            <w:r>
              <w:rPr>
                <w:sz w:val="18"/>
                <w:lang w:val="fr-CH"/>
              </w:rPr>
              <w:t xml:space="preserve"> </w:t>
            </w:r>
            <w:r>
              <w:rPr>
                <w:sz w:val="18"/>
                <w:lang w:val="fr-CH"/>
              </w:rPr>
              <w:t>et reçue</w:t>
            </w:r>
            <w:proofErr w:type="gramStart"/>
            <w:r>
              <w:rPr>
                <w:sz w:val="18"/>
                <w:lang w:val="fr-CH"/>
              </w:rPr>
              <w:t>)</w:t>
            </w:r>
            <w:r>
              <w:rPr>
                <w:sz w:val="18"/>
                <w:lang w:val="fr-CH"/>
              </w:rPr>
              <w:t>:</w:t>
            </w:r>
            <w:proofErr w:type="gramEnd"/>
            <w:r>
              <w:rPr>
                <w:sz w:val="18"/>
                <w:lang w:val="fr-CH"/>
              </w:rPr>
              <w:t xml:space="preserve"> </w:t>
            </w:r>
          </w:p>
          <w:p>
            <w:pPr>
              <w:pStyle w:val="Listenabsatz"/>
              <w:numPr>
                <w:ilvl w:val="0"/>
                <w:numId w:val="41"/>
              </w:numPr>
              <w:autoSpaceDE w:val="0"/>
              <w:autoSpaceDN w:val="0"/>
              <w:adjustRightInd w:val="0"/>
              <w:spacing w:line="276" w:lineRule="auto"/>
              <w:ind w:left="210" w:hanging="210"/>
              <w:rPr>
                <w:rFonts w:cs="Arial"/>
                <w:sz w:val="18"/>
                <w:szCs w:val="18"/>
                <w:lang w:val="fr-CH"/>
              </w:rPr>
            </w:pPr>
            <w:proofErr w:type="gramStart"/>
            <w:r>
              <w:rPr>
                <w:sz w:val="18"/>
                <w:lang w:val="fr-CH"/>
              </w:rPr>
              <w:t>formation</w:t>
            </w:r>
            <w:proofErr w:type="gramEnd"/>
            <w:r>
              <w:rPr>
                <w:sz w:val="18"/>
                <w:lang w:val="fr-CH"/>
              </w:rPr>
              <w:t xml:space="preserve"> </w:t>
            </w:r>
            <w:r>
              <w:rPr>
                <w:sz w:val="18"/>
                <w:lang w:val="fr-CH"/>
              </w:rPr>
              <w:t>de base</w:t>
            </w:r>
            <w:r>
              <w:rPr>
                <w:sz w:val="18"/>
                <w:lang w:val="fr-CH"/>
              </w:rPr>
              <w:t xml:space="preserve"> </w:t>
            </w:r>
          </w:p>
          <w:p>
            <w:pPr>
              <w:numPr>
                <w:ilvl w:val="0"/>
                <w:numId w:val="41"/>
              </w:numPr>
              <w:autoSpaceDE w:val="0"/>
              <w:autoSpaceDN w:val="0"/>
              <w:adjustRightInd w:val="0"/>
              <w:spacing w:line="276" w:lineRule="auto"/>
              <w:ind w:left="210" w:hanging="210"/>
              <w:rPr>
                <w:rFonts w:cs="Arial"/>
                <w:sz w:val="18"/>
                <w:szCs w:val="18"/>
                <w:lang w:val="fr-CH"/>
              </w:rPr>
            </w:pPr>
            <w:proofErr w:type="gramStart"/>
            <w:r>
              <w:rPr>
                <w:sz w:val="18"/>
                <w:lang w:val="fr-CH"/>
              </w:rPr>
              <w:t>formation</w:t>
            </w:r>
            <w:proofErr w:type="gramEnd"/>
            <w:r>
              <w:rPr>
                <w:sz w:val="18"/>
                <w:lang w:val="fr-CH"/>
              </w:rPr>
              <w:t xml:space="preserve"> postgrad</w:t>
            </w:r>
            <w:r>
              <w:rPr>
                <w:sz w:val="18"/>
                <w:lang w:val="fr-CH"/>
              </w:rPr>
              <w:t xml:space="preserve">e </w:t>
            </w:r>
            <w:r>
              <w:rPr>
                <w:sz w:val="18"/>
                <w:lang w:val="fr-CH"/>
              </w:rPr>
              <w:t xml:space="preserve">et </w:t>
            </w:r>
          </w:p>
          <w:p>
            <w:pPr>
              <w:numPr>
                <w:ilvl w:val="0"/>
                <w:numId w:val="41"/>
              </w:numPr>
              <w:autoSpaceDE w:val="0"/>
              <w:autoSpaceDN w:val="0"/>
              <w:adjustRightInd w:val="0"/>
              <w:spacing w:line="276" w:lineRule="auto"/>
              <w:ind w:left="210" w:hanging="210"/>
              <w:rPr>
                <w:rFonts w:cs="Arial"/>
                <w:sz w:val="18"/>
                <w:szCs w:val="18"/>
              </w:rPr>
            </w:pPr>
            <w:proofErr w:type="spellStart"/>
            <w:r>
              <w:rPr>
                <w:sz w:val="18"/>
              </w:rPr>
              <w:t>recherche</w:t>
            </w:r>
            <w:proofErr w:type="spellEnd"/>
          </w:p>
          <w:p>
            <w:pPr>
              <w:autoSpaceDE w:val="0"/>
              <w:autoSpaceDN w:val="0"/>
              <w:adjustRightInd w:val="0"/>
              <w:spacing w:line="276" w:lineRule="auto"/>
              <w:rPr>
                <w:sz w:val="18"/>
                <w:lang w:val="fr-CH"/>
              </w:rPr>
            </w:pPr>
            <w:r>
              <w:rPr>
                <w:sz w:val="18"/>
                <w:lang w:val="fr-CH"/>
              </w:rPr>
              <w:t>Les activités de formation continue et les coûts qui en découlent sont des coûts déterminant pour l’</w:t>
            </w:r>
            <w:r>
              <w:rPr>
                <w:sz w:val="18"/>
                <w:lang w:val="fr-CH"/>
              </w:rPr>
              <w:t>AOS</w:t>
            </w:r>
            <w:r>
              <w:rPr>
                <w:sz w:val="18"/>
                <w:lang w:val="fr-CH"/>
              </w:rPr>
              <w:t xml:space="preserve"> et ne figurent pas parmi les activités de la recherche et de la formation universitaire selon la </w:t>
            </w:r>
            <w:proofErr w:type="spellStart"/>
            <w:r>
              <w:rPr>
                <w:sz w:val="18"/>
                <w:lang w:val="fr-CH"/>
              </w:rPr>
              <w:t>LAMal</w:t>
            </w:r>
            <w:proofErr w:type="spellEnd"/>
            <w:r>
              <w:rPr>
                <w:sz w:val="18"/>
                <w:lang w:val="fr-CH"/>
              </w:rPr>
              <w:t>. Le relevé des activités de la formation continue demeure donc optionnel, car la loi n’exige pas de présentation séparée de ces activités. Les activités de formation doivent être comptabilisées sur les cas administratifs.</w:t>
            </w:r>
          </w:p>
          <w:p>
            <w:pPr>
              <w:autoSpaceDE w:val="0"/>
              <w:autoSpaceDN w:val="0"/>
              <w:adjustRightInd w:val="0"/>
              <w:spacing w:line="276" w:lineRule="auto"/>
              <w:rPr>
                <w:color w:val="005596"/>
                <w:sz w:val="18"/>
                <w:lang w:val="fr-CH"/>
              </w:rPr>
            </w:pPr>
          </w:p>
          <w:p>
            <w:pPr>
              <w:autoSpaceDE w:val="0"/>
              <w:autoSpaceDN w:val="0"/>
              <w:adjustRightInd w:val="0"/>
              <w:spacing w:line="276" w:lineRule="auto"/>
              <w:rPr>
                <w:color w:val="005596"/>
                <w:sz w:val="18"/>
                <w:lang w:val="fr-CH"/>
              </w:rPr>
            </w:pPr>
            <w:proofErr w:type="gramStart"/>
            <w:r>
              <w:rPr>
                <w:color w:val="005596"/>
                <w:sz w:val="18"/>
                <w:lang w:val="fr-CH"/>
              </w:rPr>
              <w:t>Note:</w:t>
            </w:r>
            <w:proofErr w:type="gramEnd"/>
            <w:r>
              <w:rPr>
                <w:color w:val="005596"/>
                <w:sz w:val="18"/>
                <w:lang w:val="fr-CH"/>
              </w:rPr>
              <w:t xml:space="preserve"> </w:t>
            </w:r>
            <w:r>
              <w:rPr>
                <w:color w:val="005596"/>
                <w:sz w:val="18"/>
                <w:lang w:val="fr-CH"/>
              </w:rPr>
              <w:t>Les groupes d’activités selon le manuel REKOLE</w:t>
            </w:r>
            <w:r>
              <w:rPr>
                <w:color w:val="005596"/>
                <w:sz w:val="18"/>
                <w:vertAlign w:val="superscript"/>
                <w:lang w:val="fr-CH"/>
              </w:rPr>
              <w:t>®</w:t>
            </w:r>
            <w:r>
              <w:rPr>
                <w:color w:val="005596"/>
                <w:sz w:val="18"/>
                <w:lang w:val="fr-CH"/>
              </w:rPr>
              <w:t xml:space="preserve"> </w:t>
            </w:r>
            <w:r>
              <w:rPr>
                <w:color w:val="005596"/>
                <w:sz w:val="18"/>
                <w:lang w:val="fr-CH"/>
              </w:rPr>
              <w:t>c</w:t>
            </w:r>
            <w:r>
              <w:rPr>
                <w:color w:val="005596"/>
                <w:sz w:val="18"/>
                <w:lang w:val="fr-CH"/>
              </w:rPr>
              <w:t>hapitre 10.3 ont été définies pour les pro</w:t>
            </w:r>
            <w:r>
              <w:rPr>
                <w:color w:val="005596"/>
                <w:sz w:val="18"/>
                <w:lang w:val="fr-CH"/>
              </w:rPr>
              <w:t xml:space="preserve">fessions médicales. </w:t>
            </w:r>
            <w:r>
              <w:rPr>
                <w:color w:val="005596"/>
                <w:sz w:val="18"/>
                <w:lang w:val="fr-CH"/>
              </w:rPr>
              <w:t>S</w:t>
            </w:r>
            <w:r>
              <w:rPr>
                <w:color w:val="005596"/>
                <w:sz w:val="18"/>
                <w:lang w:val="fr-CH"/>
              </w:rPr>
              <w:t>i un hôpital procède à une saisie encore plus fine des activités, il convient alors de s’assurer que les informations (par ex. taux d’occupation en pour-cent) soient regroupées correctement</w:t>
            </w:r>
            <w:r>
              <w:rPr>
                <w:color w:val="005596"/>
                <w:sz w:val="18"/>
                <w:lang w:val="fr-CH"/>
              </w:rPr>
              <w:t xml:space="preserve">. </w:t>
            </w:r>
            <w:r>
              <w:rPr>
                <w:color w:val="005596"/>
                <w:sz w:val="18"/>
                <w:lang w:val="fr-CH"/>
              </w:rPr>
              <w:t>D’éventuels groupes d’activités manquants et spécifiques pour les autres catégories professionnelles doivent être créés.</w:t>
            </w:r>
          </w:p>
          <w:p>
            <w:pPr>
              <w:autoSpaceDE w:val="0"/>
              <w:autoSpaceDN w:val="0"/>
              <w:adjustRightInd w:val="0"/>
              <w:spacing w:line="276" w:lineRule="auto"/>
              <w:rPr>
                <w:rFonts w:cs="Arial"/>
                <w:color w:val="00B050"/>
                <w:sz w:val="18"/>
                <w:szCs w:val="18"/>
                <w:lang w:val="fr-CH"/>
              </w:rPr>
            </w:pPr>
          </w:p>
          <w:p>
            <w:pPr>
              <w:autoSpaceDE w:val="0"/>
              <w:autoSpaceDN w:val="0"/>
              <w:adjustRightInd w:val="0"/>
              <w:spacing w:line="276" w:lineRule="auto"/>
              <w:rPr>
                <w:color w:val="005596"/>
                <w:sz w:val="18"/>
                <w:lang w:val="fr-CH"/>
              </w:rPr>
            </w:pPr>
            <w:r>
              <w:rPr>
                <w:color w:val="005596"/>
                <w:sz w:val="18"/>
                <w:lang w:val="fr-CH"/>
              </w:rPr>
              <w:t>D’autres détails sont disponibles dans le manuel REKOLE</w:t>
            </w:r>
            <w:r>
              <w:rPr>
                <w:color w:val="005596"/>
                <w:sz w:val="18"/>
                <w:vertAlign w:val="superscript"/>
                <w:lang w:val="fr-CH"/>
              </w:rPr>
              <w:t>®</w:t>
            </w:r>
            <w:r>
              <w:rPr>
                <w:color w:val="005596"/>
                <w:sz w:val="18"/>
                <w:lang w:val="fr-CH"/>
              </w:rPr>
              <w:t>, Comptabilité analytique à l’hôpital, 4</w:t>
            </w:r>
            <w:r>
              <w:rPr>
                <w:color w:val="005596"/>
                <w:sz w:val="18"/>
                <w:vertAlign w:val="superscript"/>
                <w:lang w:val="fr-CH"/>
              </w:rPr>
              <w:t>e</w:t>
            </w:r>
            <w:r>
              <w:rPr>
                <w:color w:val="005596"/>
                <w:sz w:val="18"/>
                <w:lang w:val="fr-CH"/>
              </w:rPr>
              <w:t xml:space="preserve"> édition 2013, au chapitre 9.11.6 Conditions préalables au sein de REKOLE</w:t>
            </w:r>
            <w:r>
              <w:rPr>
                <w:color w:val="005596"/>
                <w:sz w:val="18"/>
                <w:vertAlign w:val="superscript"/>
                <w:lang w:val="fr-CH"/>
              </w:rPr>
              <w:t>®</w:t>
            </w:r>
            <w:r>
              <w:rPr>
                <w:color w:val="005596"/>
                <w:sz w:val="18"/>
                <w:lang w:val="fr-CH"/>
              </w:rPr>
              <w:t xml:space="preserve"> et au chapitre 10.3 Formation de groupes d’activités pour la saisie des activités de la recherche et de formation universitaire. </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sdt>
          <w:sdtPr>
            <w:rPr>
              <w:rFonts w:ascii="Arial" w:hAnsi="Arial" w:cs="Arial"/>
              <w:color w:val="auto"/>
              <w:sz w:val="18"/>
              <w:szCs w:val="18"/>
            </w:rPr>
            <w:id w:val="2043702821"/>
            <w14:checkbox>
              <w14:checked w14:val="0"/>
              <w14:checkedState w14:val="2612" w14:font="Yu Gothic UI"/>
              <w14:uncheckedState w14:val="2610" w14:font="Yu Gothic UI"/>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rPr>
                </w:pPr>
                <w:r>
                  <w:rPr>
                    <w:rFonts w:ascii="MS Gothic" w:eastAsia="MS Gothic" w:hAnsi="MS Gothic" w:cs="Arial" w:hint="eastAsia"/>
                    <w:color w:val="auto"/>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eastAsia="TheMix-HP3Lig" w:cs="Arial"/>
                <w:sz w:val="18"/>
                <w:szCs w:val="18"/>
                <w:lang w:val="fr-CH"/>
              </w:rPr>
            </w:pPr>
            <w:r>
              <w:rPr>
                <w:sz w:val="18"/>
                <w:lang w:val="fr-CH"/>
              </w:rPr>
              <w:t>La documentation des mesures prises pour comptabiliser (charges salariales) ou répartir (charges de matériel) les coûts indirects de la production jumelée sur le centre de charges obligatoire Recherche et formation universitaire.</w:t>
            </w:r>
          </w:p>
          <w:p>
            <w:pPr>
              <w:autoSpaceDE w:val="0"/>
              <w:autoSpaceDN w:val="0"/>
              <w:adjustRightInd w:val="0"/>
              <w:spacing w:line="276" w:lineRule="auto"/>
              <w:rPr>
                <w:rFonts w:eastAsia="TheMix-HP3Lig" w:cs="Arial"/>
                <w:color w:val="005596"/>
                <w:sz w:val="18"/>
                <w:szCs w:val="18"/>
                <w:lang w:val="fr-CH"/>
              </w:rPr>
            </w:pPr>
          </w:p>
          <w:p>
            <w:pPr>
              <w:autoSpaceDE w:val="0"/>
              <w:autoSpaceDN w:val="0"/>
              <w:adjustRightInd w:val="0"/>
              <w:spacing w:line="276" w:lineRule="auto"/>
              <w:rPr>
                <w:rFonts w:eastAsia="TheMix-HP3Lig" w:cs="Arial"/>
                <w:sz w:val="18"/>
                <w:szCs w:val="18"/>
                <w:lang w:val="fr-CH"/>
              </w:rPr>
            </w:pPr>
            <w:proofErr w:type="gramStart"/>
            <w:r>
              <w:rPr>
                <w:color w:val="005596"/>
                <w:sz w:val="18"/>
                <w:lang w:val="fr-CH"/>
              </w:rPr>
              <w:t>Note:</w:t>
            </w:r>
            <w:proofErr w:type="gramEnd"/>
            <w:r>
              <w:rPr>
                <w:color w:val="005596"/>
                <w:sz w:val="18"/>
                <w:lang w:val="fr-CH"/>
              </w:rPr>
              <w:t xml:space="preserve"> un rapport coûts/</w:t>
            </w:r>
            <w:r>
              <w:rPr>
                <w:color w:val="005596"/>
                <w:sz w:val="18"/>
                <w:lang w:val="fr-CH"/>
              </w:rPr>
              <w:t xml:space="preserve">utilité équilibré doit être garanti lors du calcul des coûts indirects. </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sdt>
          <w:sdtPr>
            <w:rPr>
              <w:rFonts w:ascii="Arial" w:hAnsi="Arial" w:cs="Arial"/>
              <w:color w:val="auto"/>
              <w:sz w:val="18"/>
              <w:szCs w:val="18"/>
            </w:rPr>
            <w:id w:val="-323812477"/>
            <w14:checkbox>
              <w14:checked w14:val="0"/>
              <w14:checkedState w14:val="2612" w14:font="Yu Gothic UI"/>
              <w14:uncheckedState w14:val="2610" w14:font="Yu Gothic UI"/>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rPr>
                </w:pPr>
                <w:r>
                  <w:rPr>
                    <w:rFonts w:ascii="MS Gothic" w:eastAsia="MS Gothic" w:hAnsi="MS Gothic" w:cs="Arial" w:hint="eastAsia"/>
                    <w:color w:val="auto"/>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highlight w:val="yellow"/>
                <w:lang w:val="fr-CH"/>
              </w:rPr>
            </w:pPr>
            <w:r>
              <w:rPr>
                <w:sz w:val="18"/>
                <w:lang w:val="fr-CH"/>
              </w:rPr>
              <w:t>Lorsque la</w:t>
            </w:r>
            <w:r>
              <w:rPr>
                <w:sz w:val="18"/>
                <w:lang w:val="fr-CH"/>
              </w:rPr>
              <w:t xml:space="preserve"> recherche et la</w:t>
            </w:r>
            <w:r>
              <w:rPr>
                <w:sz w:val="18"/>
                <w:lang w:val="fr-CH"/>
              </w:rPr>
              <w:t xml:space="preserve"> formati</w:t>
            </w:r>
            <w:r>
              <w:rPr>
                <w:sz w:val="18"/>
                <w:lang w:val="fr-CH"/>
              </w:rPr>
              <w:t xml:space="preserve">on universitaire </w:t>
            </w:r>
            <w:r>
              <w:rPr>
                <w:sz w:val="18"/>
                <w:lang w:val="fr-CH"/>
              </w:rPr>
              <w:t>sont financées, outre par l’hôpital, par des tiers (les départements de la formation, les cantons, la Confédération, l’industrie, les instituts de recherche, les associations professionnelles, les sociétés du domaine médical, les fondations, etc.): les coûts et les revenus financés par des tiers sont-ils connus et ont-ils été pris en compte en tant que coûts/revenus supplétifs dans la comptabilité des ajustements [cf. chapitre 5.6.2 Charges calculées (détermination des charges substitutives et charges supplétives)]?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bl>
    <w:p>
      <w:pPr>
        <w:rPr>
          <w:lang w:val="fr-CH"/>
        </w:rPr>
      </w:pPr>
      <w:r>
        <w:rPr>
          <w:lang w:val="fr-CH"/>
        </w:rPr>
        <w:br w:type="page"/>
      </w:r>
    </w:p>
    <w:tbl>
      <w:tblPr>
        <w:tblW w:w="9798" w:type="dxa"/>
        <w:tblInd w:w="108" w:type="dxa"/>
        <w:tblLayout w:type="fixed"/>
        <w:tblCellMar>
          <w:left w:w="0" w:type="dxa"/>
          <w:right w:w="0" w:type="dxa"/>
        </w:tblCellMar>
        <w:tblLook w:val="0000" w:firstRow="0" w:lastRow="0" w:firstColumn="0" w:lastColumn="0" w:noHBand="0" w:noVBand="0"/>
      </w:tblPr>
      <w:tblGrid>
        <w:gridCol w:w="675"/>
        <w:gridCol w:w="6401"/>
        <w:gridCol w:w="2722"/>
      </w:tblGrid>
      <w:tr>
        <w:trPr>
          <w:trHeight w:val="60"/>
        </w:trPr>
        <w:sdt>
          <w:sdtPr>
            <w:rPr>
              <w:rFonts w:ascii="Arial" w:hAnsi="Arial" w:cs="Arial"/>
              <w:color w:val="auto"/>
              <w:sz w:val="18"/>
              <w:szCs w:val="18"/>
            </w:rPr>
            <w:id w:val="-242262237"/>
            <w14:checkbox>
              <w14:checked w14:val="0"/>
              <w14:checkedState w14:val="2612" w14:font="Yu Gothic UI"/>
              <w14:uncheckedState w14:val="2610" w14:font="Yu Gothic UI"/>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rPr>
                </w:pPr>
                <w:r>
                  <w:rPr>
                    <w:rFonts w:ascii="MS Gothic" w:eastAsia="MS Gothic" w:hAnsi="MS Gothic" w:cs="Arial" w:hint="eastAsia"/>
                    <w:color w:val="auto"/>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sz w:val="18"/>
                <w:lang w:val="fr-CH"/>
              </w:rPr>
            </w:pPr>
            <w:proofErr w:type="gramStart"/>
            <w:r>
              <w:rPr>
                <w:sz w:val="18"/>
                <w:lang w:val="fr-CH"/>
              </w:rPr>
              <w:t>Vérification</w:t>
            </w:r>
            <w:r>
              <w:rPr>
                <w:sz w:val="18"/>
                <w:lang w:val="fr-CH"/>
              </w:rPr>
              <w:t>:</w:t>
            </w:r>
            <w:proofErr w:type="gramEnd"/>
            <w:r>
              <w:rPr>
                <w:sz w:val="18"/>
                <w:lang w:val="fr-CH"/>
              </w:rPr>
              <w:t xml:space="preserve"> les parts de charges salariales sont directement ou indirectement comptabilisées sur le centre de charges obligatoire Recherche et formation universitaire. </w:t>
            </w:r>
          </w:p>
          <w:p>
            <w:pPr>
              <w:autoSpaceDE w:val="0"/>
              <w:autoSpaceDN w:val="0"/>
              <w:adjustRightInd w:val="0"/>
              <w:spacing w:line="276" w:lineRule="auto"/>
              <w:rPr>
                <w:rFonts w:eastAsia="TheMix-HP3Lig" w:cs="Arial"/>
                <w:sz w:val="18"/>
                <w:szCs w:val="18"/>
                <w:lang w:val="fr-CH"/>
              </w:rPr>
            </w:pPr>
          </w:p>
          <w:p>
            <w:pPr>
              <w:autoSpaceDE w:val="0"/>
              <w:autoSpaceDN w:val="0"/>
              <w:adjustRightInd w:val="0"/>
              <w:spacing w:line="276" w:lineRule="auto"/>
              <w:rPr>
                <w:rFonts w:eastAsia="TheMix-HP3Lig" w:cs="Arial"/>
                <w:sz w:val="18"/>
                <w:szCs w:val="18"/>
                <w:highlight w:val="yellow"/>
                <w:lang w:val="fr-CH"/>
              </w:rPr>
            </w:pPr>
            <w:proofErr w:type="gramStart"/>
            <w:r>
              <w:rPr>
                <w:color w:val="005596"/>
                <w:sz w:val="18"/>
                <w:lang w:val="fr-CH"/>
              </w:rPr>
              <w:t>Note:</w:t>
            </w:r>
            <w:proofErr w:type="gramEnd"/>
            <w:r>
              <w:rPr>
                <w:color w:val="005596"/>
                <w:sz w:val="18"/>
                <w:lang w:val="fr-CH"/>
              </w:rPr>
              <w:t xml:space="preserve"> une imputation interne de prestations</w:t>
            </w:r>
            <w:r>
              <w:rPr>
                <w:color w:val="005596"/>
                <w:sz w:val="18"/>
                <w:lang w:val="fr-CH"/>
              </w:rPr>
              <w:t xml:space="preserve"> (IIP)</w:t>
            </w:r>
            <w:r>
              <w:rPr>
                <w:color w:val="005596"/>
                <w:sz w:val="18"/>
                <w:lang w:val="fr-CH"/>
              </w:rPr>
              <w:t xml:space="preserve"> ou la création de coûts secondaires n’est pas possible dans ce contexte, </w:t>
            </w:r>
            <w:r>
              <w:rPr>
                <w:color w:val="005596"/>
                <w:sz w:val="18"/>
                <w:lang w:val="fr-CH"/>
              </w:rPr>
              <w:t>car il en résulterait une représentation trop basse des coûts primaires du CCO 47 Recherche et formation universitaire, ce qui, au final, aboutirait à une sous-évaluation des coûts totaux de la recherche et de la formation universitaire.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sdt>
          <w:sdtPr>
            <w:rPr>
              <w:rFonts w:ascii="Arial" w:hAnsi="Arial" w:cs="Arial"/>
              <w:color w:val="auto"/>
              <w:sz w:val="18"/>
              <w:szCs w:val="18"/>
            </w:rPr>
            <w:id w:val="359396432"/>
            <w14:checkbox>
              <w14:checked w14:val="0"/>
              <w14:checkedState w14:val="2612" w14:font="Yu Gothic UI"/>
              <w14:uncheckedState w14:val="2610" w14:font="Yu Gothic UI"/>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rPr>
                </w:pPr>
                <w:r>
                  <w:rPr>
                    <w:rFonts w:ascii="MS Gothic" w:eastAsia="MS Gothic" w:hAnsi="MS Gothic" w:cs="Arial" w:hint="eastAsia"/>
                    <w:color w:val="auto"/>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b/>
                <w:sz w:val="18"/>
                <w:lang w:val="fr-CH"/>
              </w:rPr>
            </w:pPr>
            <w:r>
              <w:rPr>
                <w:b/>
                <w:sz w:val="18"/>
                <w:lang w:val="fr-CH"/>
              </w:rPr>
              <w:t>Répartition conforme au lien de causalité des départements administratifs</w:t>
            </w:r>
          </w:p>
          <w:p>
            <w:pPr>
              <w:autoSpaceDE w:val="0"/>
              <w:autoSpaceDN w:val="0"/>
              <w:adjustRightInd w:val="0"/>
              <w:spacing w:line="276" w:lineRule="auto"/>
              <w:rPr>
                <w:rFonts w:eastAsia="TheMix-HP3Lig" w:cs="Arial"/>
                <w:sz w:val="18"/>
                <w:szCs w:val="18"/>
                <w:lang w:val="fr-CH"/>
              </w:rPr>
            </w:pPr>
            <w:proofErr w:type="gramStart"/>
            <w:r>
              <w:rPr>
                <w:sz w:val="18"/>
                <w:lang w:val="fr-CH"/>
              </w:rPr>
              <w:t>Vérification</w:t>
            </w:r>
            <w:r>
              <w:rPr>
                <w:sz w:val="18"/>
                <w:lang w:val="fr-CH"/>
              </w:rPr>
              <w:t>:</w:t>
            </w:r>
            <w:proofErr w:type="gramEnd"/>
            <w:r>
              <w:rPr>
                <w:sz w:val="18"/>
                <w:lang w:val="fr-CH"/>
              </w:rPr>
              <w:t xml:space="preserve"> l’ensemble des salaires du personnel travaillant dans l’hôpital est pris en compte dans la comptabilité des charges par nature (comme charges incorporées ou comme charges supplétives). Si ce n’est pas le cas, il faut s’assurer que l’unité d’œuvre</w:t>
            </w:r>
            <w:proofErr w:type="gramStart"/>
            <w:r>
              <w:rPr>
                <w:sz w:val="18"/>
                <w:lang w:val="fr-CH"/>
              </w:rPr>
              <w:t xml:space="preserve"> «Nombre</w:t>
            </w:r>
            <w:proofErr w:type="gramEnd"/>
            <w:r>
              <w:rPr>
                <w:sz w:val="18"/>
                <w:lang w:val="fr-CH"/>
              </w:rPr>
              <w:t xml:space="preserve"> d’équivalent plein</w:t>
            </w:r>
            <w:r>
              <w:rPr>
                <w:sz w:val="18"/>
                <w:lang w:val="fr-CH"/>
              </w:rPr>
              <w:t xml:space="preserve"> </w:t>
            </w:r>
            <w:r>
              <w:rPr>
                <w:sz w:val="18"/>
                <w:lang w:val="fr-CH"/>
              </w:rPr>
              <w:t xml:space="preserve">temps» est utilisée comme variante minimale: </w:t>
            </w:r>
          </w:p>
          <w:p>
            <w:pPr>
              <w:numPr>
                <w:ilvl w:val="0"/>
                <w:numId w:val="39"/>
              </w:numPr>
              <w:autoSpaceDE w:val="0"/>
              <w:autoSpaceDN w:val="0"/>
              <w:adjustRightInd w:val="0"/>
              <w:spacing w:line="276" w:lineRule="auto"/>
              <w:ind w:left="210" w:hanging="219"/>
              <w:rPr>
                <w:rFonts w:eastAsia="TheMix-HP3Lig" w:cs="Arial"/>
                <w:sz w:val="18"/>
                <w:szCs w:val="18"/>
              </w:rPr>
            </w:pPr>
            <w:proofErr w:type="spellStart"/>
            <w:r>
              <w:rPr>
                <w:sz w:val="18"/>
              </w:rPr>
              <w:t>Direction</w:t>
            </w:r>
            <w:proofErr w:type="spellEnd"/>
          </w:p>
          <w:p>
            <w:pPr>
              <w:numPr>
                <w:ilvl w:val="0"/>
                <w:numId w:val="39"/>
              </w:numPr>
              <w:autoSpaceDE w:val="0"/>
              <w:autoSpaceDN w:val="0"/>
              <w:adjustRightInd w:val="0"/>
              <w:spacing w:line="276" w:lineRule="auto"/>
              <w:ind w:left="210" w:hanging="219"/>
              <w:rPr>
                <w:rFonts w:eastAsia="TheMix-HP3Lig" w:cs="Arial"/>
                <w:sz w:val="18"/>
                <w:szCs w:val="18"/>
                <w:lang w:val="fr-CH"/>
              </w:rPr>
            </w:pPr>
            <w:r>
              <w:rPr>
                <w:sz w:val="18"/>
                <w:lang w:val="fr-CH"/>
              </w:rPr>
              <w:t>Services de gestion et de coordination décentralisés</w:t>
            </w:r>
          </w:p>
          <w:p>
            <w:pPr>
              <w:numPr>
                <w:ilvl w:val="0"/>
                <w:numId w:val="39"/>
              </w:numPr>
              <w:autoSpaceDE w:val="0"/>
              <w:autoSpaceDN w:val="0"/>
              <w:adjustRightInd w:val="0"/>
              <w:spacing w:line="276" w:lineRule="auto"/>
              <w:ind w:left="210" w:hanging="219"/>
              <w:rPr>
                <w:rFonts w:eastAsia="TheMix-HP3Lig" w:cs="Arial"/>
                <w:sz w:val="18"/>
                <w:szCs w:val="18"/>
              </w:rPr>
            </w:pPr>
            <w:proofErr w:type="spellStart"/>
            <w:r>
              <w:rPr>
                <w:sz w:val="18"/>
              </w:rPr>
              <w:t>Ressources</w:t>
            </w:r>
            <w:proofErr w:type="spellEnd"/>
            <w:r>
              <w:rPr>
                <w:sz w:val="18"/>
              </w:rPr>
              <w:t xml:space="preserve"> </w:t>
            </w:r>
            <w:proofErr w:type="spellStart"/>
            <w:r>
              <w:rPr>
                <w:sz w:val="18"/>
              </w:rPr>
              <w:t>humaines</w:t>
            </w:r>
            <w:proofErr w:type="spellEnd"/>
          </w:p>
          <w:p>
            <w:pPr>
              <w:numPr>
                <w:ilvl w:val="0"/>
                <w:numId w:val="39"/>
              </w:numPr>
              <w:autoSpaceDE w:val="0"/>
              <w:autoSpaceDN w:val="0"/>
              <w:adjustRightInd w:val="0"/>
              <w:spacing w:line="276" w:lineRule="auto"/>
              <w:ind w:left="210" w:hanging="219"/>
              <w:rPr>
                <w:rFonts w:eastAsia="TheMix-HP3Lig" w:cs="Arial"/>
                <w:sz w:val="18"/>
                <w:szCs w:val="18"/>
              </w:rPr>
            </w:pPr>
            <w:proofErr w:type="spellStart"/>
            <w:r>
              <w:rPr>
                <w:sz w:val="18"/>
              </w:rPr>
              <w:t>Comptabilité</w:t>
            </w:r>
            <w:proofErr w:type="spellEnd"/>
          </w:p>
          <w:p>
            <w:pPr>
              <w:autoSpaceDE w:val="0"/>
              <w:autoSpaceDN w:val="0"/>
              <w:adjustRightInd w:val="0"/>
              <w:spacing w:line="276" w:lineRule="auto"/>
              <w:ind w:left="21"/>
              <w:rPr>
                <w:rFonts w:eastAsia="TheMix-HP3Lig" w:cs="Arial"/>
                <w:sz w:val="18"/>
                <w:szCs w:val="18"/>
              </w:rPr>
            </w:pPr>
          </w:p>
          <w:p>
            <w:pPr>
              <w:autoSpaceDE w:val="0"/>
              <w:autoSpaceDN w:val="0"/>
              <w:adjustRightInd w:val="0"/>
              <w:spacing w:line="276" w:lineRule="auto"/>
              <w:ind w:left="21"/>
              <w:rPr>
                <w:rFonts w:eastAsia="TheMix-HP3Lig" w:cs="Arial"/>
                <w:sz w:val="18"/>
                <w:szCs w:val="18"/>
                <w:lang w:val="fr-CH"/>
              </w:rPr>
            </w:pPr>
            <w:r>
              <w:rPr>
                <w:sz w:val="18"/>
                <w:lang w:val="fr-CH"/>
              </w:rPr>
              <w:t>On évite ainsi tout biais en raison d’une clé de répartition non appropriée dans ce cas.</w:t>
            </w:r>
          </w:p>
          <w:p>
            <w:pPr>
              <w:autoSpaceDE w:val="0"/>
              <w:autoSpaceDN w:val="0"/>
              <w:adjustRightInd w:val="0"/>
              <w:spacing w:line="276" w:lineRule="auto"/>
              <w:ind w:left="304"/>
              <w:rPr>
                <w:rFonts w:eastAsia="TheMix-HP3Lig" w:cs="Arial"/>
                <w:sz w:val="18"/>
                <w:szCs w:val="18"/>
                <w:lang w:val="fr-CH"/>
              </w:rPr>
            </w:pPr>
          </w:p>
          <w:p>
            <w:pPr>
              <w:autoSpaceDE w:val="0"/>
              <w:autoSpaceDN w:val="0"/>
              <w:adjustRightInd w:val="0"/>
              <w:spacing w:line="276" w:lineRule="auto"/>
              <w:rPr>
                <w:rFonts w:eastAsia="TheMix-HP3Lig" w:cs="Arial"/>
                <w:sz w:val="18"/>
                <w:szCs w:val="18"/>
                <w:lang w:val="fr-CH"/>
              </w:rPr>
            </w:pPr>
            <w:proofErr w:type="gramStart"/>
            <w:r>
              <w:rPr>
                <w:color w:val="005596"/>
                <w:sz w:val="18"/>
                <w:lang w:val="fr-CH"/>
              </w:rPr>
              <w:t>Note:</w:t>
            </w:r>
            <w:proofErr w:type="gramEnd"/>
            <w:r>
              <w:rPr>
                <w:color w:val="005596"/>
                <w:sz w:val="18"/>
                <w:lang w:val="fr-CH"/>
              </w:rPr>
              <w:t xml:space="preserve"> l’unité d’œuvre % des rémunérations n’est pas autorisée en tant que variante minimale dans ce cas. </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sdt>
          <w:sdtPr>
            <w:rPr>
              <w:rFonts w:ascii="Arial" w:hAnsi="Arial" w:cs="Arial"/>
              <w:color w:val="auto"/>
              <w:sz w:val="18"/>
              <w:szCs w:val="18"/>
              <w:lang w:val="fr-CH"/>
            </w:rPr>
            <w:id w:val="536088360"/>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r>
                  <w:rPr>
                    <w:rFonts w:ascii="MS Gothic" w:eastAsia="MS Gothic" w:hAnsi="MS Gothic" w:cs="Arial" w:hint="eastAsia"/>
                    <w:color w:val="auto"/>
                    <w:sz w:val="18"/>
                    <w:szCs w:val="18"/>
                    <w:lang w:val="fr-CH"/>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eastAsia="TheMix-HP3Lig" w:cs="Arial"/>
                <w:sz w:val="18"/>
                <w:szCs w:val="18"/>
                <w:lang w:val="fr-CH"/>
              </w:rPr>
            </w:pPr>
            <w:r>
              <w:rPr>
                <w:sz w:val="18"/>
                <w:lang w:val="fr-CH"/>
              </w:rPr>
              <w:t>Vérification</w:t>
            </w:r>
            <w:r>
              <w:rPr>
                <w:sz w:val="18"/>
                <w:lang w:val="fr-CH"/>
              </w:rPr>
              <w:t>: les charges de matériel (médical et non médical), les amortissements calculés des biens mobiliers (catégories d’immobilisations D, E et F) ou les investissements dont la valeur d’acquisition est inférieure à la valeur OCP sont au moins répartis sous forme de pourcentages entre les centres de charges obligatoires concernés par les activités de la recherche et de la formation universitaire et les centres de charges obligatoires Recherche et de la formation universitaire en fonction des taux d’occupation déterminés.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sdt>
          <w:sdtPr>
            <w:rPr>
              <w:rFonts w:ascii="Arial" w:hAnsi="Arial" w:cs="Arial"/>
              <w:color w:val="auto"/>
              <w:sz w:val="18"/>
              <w:szCs w:val="18"/>
            </w:rPr>
            <w:id w:val="98771762"/>
            <w14:checkbox>
              <w14:checked w14:val="0"/>
              <w14:checkedState w14:val="2612" w14:font="Yu Gothic UI"/>
              <w14:uncheckedState w14:val="2610" w14:font="Yu Gothic UI"/>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rPr>
                </w:pPr>
                <w:r>
                  <w:rPr>
                    <w:rFonts w:ascii="MS Gothic" w:eastAsia="MS Gothic" w:hAnsi="MS Gothic" w:cs="Arial" w:hint="eastAsia"/>
                    <w:color w:val="auto"/>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eastAsia="TheMix-HP3Lig" w:cs="Arial"/>
                <w:sz w:val="18"/>
                <w:szCs w:val="18"/>
                <w:lang w:val="fr-CH"/>
              </w:rPr>
            </w:pPr>
            <w:proofErr w:type="gramStart"/>
            <w:r>
              <w:rPr>
                <w:sz w:val="18"/>
                <w:lang w:val="fr-CH"/>
              </w:rPr>
              <w:t>Vérification</w:t>
            </w:r>
            <w:r>
              <w:rPr>
                <w:sz w:val="18"/>
                <w:lang w:val="fr-CH"/>
              </w:rPr>
              <w:t>:</w:t>
            </w:r>
            <w:proofErr w:type="gramEnd"/>
            <w:r>
              <w:rPr>
                <w:sz w:val="18"/>
                <w:lang w:val="fr-CH"/>
              </w:rPr>
              <w:t xml:space="preserve"> les charges de locaux sont imputées sur le centre de charges obligatoire Infrastructure et ventilées finalement sur les autres centres de charges via les m</w:t>
            </w:r>
            <w:r>
              <w:rPr>
                <w:sz w:val="18"/>
                <w:vertAlign w:val="superscript"/>
                <w:lang w:val="fr-CH"/>
              </w:rPr>
              <w:t>2</w:t>
            </w:r>
            <w:r>
              <w:rPr>
                <w:sz w:val="18"/>
                <w:lang w:val="fr-CH"/>
              </w:rPr>
              <w:t>. Les m</w:t>
            </w:r>
            <w:r>
              <w:rPr>
                <w:sz w:val="18"/>
                <w:vertAlign w:val="superscript"/>
                <w:lang w:val="fr-CH"/>
              </w:rPr>
              <w:t>2</w:t>
            </w:r>
            <w:r>
              <w:rPr>
                <w:sz w:val="18"/>
                <w:lang w:val="fr-CH"/>
              </w:rPr>
              <w:t xml:space="preserve"> des locaux présentant un aspect de production jumelée (par ex. salle d’opération, couloirs, bureaux utilisés en commun, etc.) sont découpés de manière proportionnelle en fonction de l’utilisation des locaux pour les activités de recherche et de formation universitaire et les parts des charges de locaux comptabilisées sur le centre de charges obligatoire Recherche et formation universitaire.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165"/>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9.12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Représentation administrative de traitements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282700199"/>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Documentation des consignes relatives à la manière dont les différents traitements doivent être représentés en tant que cas administratif</w:t>
            </w:r>
            <w:r>
              <w:rPr>
                <w:rFonts w:ascii="Arial" w:hAnsi="Arial" w:cs="Arial"/>
                <w:lang w:val="fr-CH"/>
              </w:rPr>
              <w:t>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bl>
    <w:p>
      <w:pPr>
        <w:spacing w:line="276" w:lineRule="auto"/>
        <w:rPr>
          <w:lang w:val="fr-CH"/>
        </w:rPr>
      </w:pPr>
      <w:r>
        <w:rPr>
          <w:b/>
          <w:bCs/>
          <w:lang w:val="fr-CH"/>
        </w:rPr>
        <w:br w:type="page"/>
      </w:r>
    </w:p>
    <w:tbl>
      <w:tblPr>
        <w:tblW w:w="9798" w:type="dxa"/>
        <w:tblInd w:w="108" w:type="dxa"/>
        <w:tblLayout w:type="fixed"/>
        <w:tblCellMar>
          <w:left w:w="0" w:type="dxa"/>
          <w:right w:w="0" w:type="dxa"/>
        </w:tblCellMar>
        <w:tblLook w:val="0000" w:firstRow="0" w:lastRow="0" w:firstColumn="0" w:lastColumn="0" w:noHBand="0" w:noVBand="0"/>
      </w:tblPr>
      <w:tblGrid>
        <w:gridCol w:w="675"/>
        <w:gridCol w:w="6401"/>
        <w:gridCol w:w="2722"/>
      </w:tblGrid>
      <w:tr>
        <w:trPr>
          <w:trHeight w:val="193"/>
        </w:trPr>
        <w:tc>
          <w:tcPr>
            <w:tcW w:w="675"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pPr>
              <w:pStyle w:val="tabelletitel"/>
              <w:spacing w:line="276" w:lineRule="auto"/>
              <w:rPr>
                <w:rFonts w:ascii="Arial" w:hAnsi="Arial" w:cs="Arial"/>
                <w:lang w:val="fr-CH"/>
              </w:rPr>
            </w:pPr>
            <w:r>
              <w:rPr>
                <w:rStyle w:val="ExpertLight"/>
                <w:rFonts w:ascii="Arial" w:hAnsi="Arial" w:cs="Arial"/>
                <w:lang w:val="fr-CH"/>
              </w:rPr>
              <w:lastRenderedPageBreak/>
              <w:t>10</w:t>
            </w:r>
          </w:p>
        </w:tc>
        <w:tc>
          <w:tcPr>
            <w:tcW w:w="6401"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19" w:type="dxa"/>
            </w:tcMar>
          </w:tcPr>
          <w:p>
            <w:pPr>
              <w:pStyle w:val="tabelletitel"/>
              <w:spacing w:line="276" w:lineRule="auto"/>
              <w:rPr>
                <w:rFonts w:ascii="Arial" w:hAnsi="Arial" w:cs="Arial"/>
                <w:lang w:val="fr-CH"/>
              </w:rPr>
            </w:pPr>
            <w:r>
              <w:rPr>
                <w:rFonts w:ascii="Arial" w:hAnsi="Arial" w:cs="Arial"/>
                <w:lang w:val="fr-CH"/>
              </w:rPr>
              <w:t>La saisie des prestations</w:t>
            </w:r>
          </w:p>
        </w:tc>
        <w:tc>
          <w:tcPr>
            <w:tcW w:w="2722"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pPr>
              <w:pStyle w:val="tabelletitel"/>
              <w:spacing w:line="276" w:lineRule="auto"/>
              <w:rPr>
                <w:rFonts w:ascii="Arial" w:hAnsi="Arial" w:cs="Arial"/>
                <w:lang w:val="fr-CH"/>
              </w:rPr>
            </w:pPr>
            <w:r>
              <w:rPr>
                <w:rFonts w:ascii="Arial" w:hAnsi="Arial" w:cs="Arial"/>
                <w:lang w:val="fr-CH"/>
              </w:rPr>
              <w:t>Remarques</w:t>
            </w:r>
          </w:p>
        </w:tc>
      </w:tr>
      <w:tr>
        <w:trPr>
          <w:trHeight w:val="144"/>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10.1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Production jumelée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303"/>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Voir le chapitre 9.11 Recherche et formation universitaire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86"/>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10.2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Activité pour l’obtention du titre de docteur</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303"/>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303"/>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10.3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Style w:val="bold"/>
                <w:rFonts w:ascii="Arial" w:hAnsi="Arial" w:cs="Arial"/>
                <w:b/>
                <w:bCs/>
                <w:lang w:val="fr-CH"/>
              </w:rPr>
            </w:pPr>
            <w:r>
              <w:rPr>
                <w:rStyle w:val="bold"/>
                <w:rFonts w:ascii="Arial" w:hAnsi="Arial" w:cs="Arial"/>
                <w:b/>
                <w:bCs/>
                <w:lang w:val="fr-CH"/>
              </w:rPr>
              <w:t>Formation de groupes d’activités pour la saisie des activités de la</w:t>
            </w:r>
          </w:p>
          <w:p>
            <w:pPr>
              <w:pStyle w:val="tabelleUntertitel"/>
              <w:spacing w:line="276" w:lineRule="auto"/>
              <w:rPr>
                <w:rFonts w:ascii="Arial" w:hAnsi="Arial" w:cs="Arial"/>
                <w:lang w:val="fr-CH"/>
              </w:rPr>
            </w:pPr>
            <w:proofErr w:type="gramStart"/>
            <w:r>
              <w:rPr>
                <w:rStyle w:val="bold"/>
                <w:rFonts w:ascii="Arial" w:hAnsi="Arial" w:cs="Arial"/>
                <w:b/>
                <w:bCs/>
                <w:lang w:val="fr-CH"/>
              </w:rPr>
              <w:t>recherche</w:t>
            </w:r>
            <w:proofErr w:type="gramEnd"/>
            <w:r>
              <w:rPr>
                <w:rStyle w:val="bold"/>
                <w:rFonts w:ascii="Arial" w:hAnsi="Arial" w:cs="Arial"/>
                <w:b/>
                <w:bCs/>
                <w:lang w:val="fr-CH"/>
              </w:rPr>
              <w:t xml:space="preserve"> et de formation universitaire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303"/>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Voir le chapitre 9.11 Recherche et formation universitaire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131"/>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10.4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Corps médicaux</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486905890"/>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les prestations de corps médicaux, à l’exception du type d’activité 7, sont saisies </w:t>
            </w:r>
            <w:r>
              <w:rPr>
                <w:rFonts w:ascii="Arial" w:hAnsi="Arial" w:cs="Arial"/>
                <w:lang w:val="fr-CH"/>
              </w:rPr>
              <w:t xml:space="preserve">en fonction de l’unité finale d’imputation et dans leur intégralité </w:t>
            </w:r>
            <w:r>
              <w:rPr>
                <w:rFonts w:ascii="Arial" w:hAnsi="Arial" w:cs="Arial"/>
                <w:lang w:val="fr-CH"/>
              </w:rPr>
              <w:t>à l’aide de points tarifaires</w:t>
            </w:r>
            <w:r>
              <w:rPr>
                <w:rFonts w:ascii="Arial" w:hAnsi="Arial" w:cs="Arial"/>
                <w:lang w:val="fr-CH"/>
              </w:rPr>
              <w:t xml:space="preserve"> et</w:t>
            </w:r>
            <w:r>
              <w:rPr>
                <w:rFonts w:ascii="Arial" w:hAnsi="Arial" w:cs="Arial"/>
                <w:lang w:val="fr-CH"/>
              </w:rPr>
              <w:t>/ou de minutes (minutes effectives ou normatives).</w:t>
            </w:r>
          </w:p>
          <w:p>
            <w:pPr>
              <w:pStyle w:val="tabellegt"/>
              <w:spacing w:line="276" w:lineRule="auto"/>
              <w:rPr>
                <w:rFonts w:ascii="Arial" w:hAnsi="Arial" w:cs="Arial"/>
                <w:lang w:val="fr-CH"/>
              </w:rPr>
            </w:pPr>
          </w:p>
          <w:p>
            <w:pPr>
              <w:pStyle w:val="tabellegt"/>
              <w:spacing w:line="276" w:lineRule="auto"/>
              <w:rPr>
                <w:rFonts w:ascii="Arial" w:hAnsi="Arial" w:cs="Arial"/>
                <w:lang w:val="fr-CH"/>
              </w:rPr>
            </w:pPr>
            <w:r>
              <w:rPr>
                <w:rFonts w:ascii="Arial" w:hAnsi="Arial" w:cs="Arial"/>
                <w:lang w:val="fr-CH"/>
              </w:rPr>
              <w:t>La décision REK 14_006 s’applique à partir du 1</w:t>
            </w:r>
            <w:r>
              <w:rPr>
                <w:rFonts w:ascii="Arial" w:hAnsi="Arial" w:cs="Arial"/>
                <w:vertAlign w:val="superscript"/>
                <w:lang w:val="fr-CH"/>
              </w:rPr>
              <w:t>er</w:t>
            </w:r>
            <w:r>
              <w:rPr>
                <w:rFonts w:ascii="Arial" w:hAnsi="Arial" w:cs="Arial"/>
                <w:lang w:val="fr-CH"/>
              </w:rPr>
              <w:t xml:space="preserve"> janvier 2018 (pertinent pour la certification à compter du 1</w:t>
            </w:r>
            <w:r>
              <w:rPr>
                <w:rFonts w:ascii="Arial" w:hAnsi="Arial" w:cs="Arial"/>
                <w:vertAlign w:val="superscript"/>
                <w:lang w:val="fr-CH"/>
              </w:rPr>
              <w:t>er</w:t>
            </w:r>
            <w:r>
              <w:rPr>
                <w:rFonts w:ascii="Arial" w:hAnsi="Arial" w:cs="Arial"/>
                <w:lang w:val="fr-CH"/>
              </w:rPr>
              <w:t xml:space="preserve"> janvier 2019</w:t>
            </w:r>
            <w:proofErr w:type="gramStart"/>
            <w:r>
              <w:rPr>
                <w:rFonts w:ascii="Arial" w:hAnsi="Arial" w:cs="Arial"/>
                <w:lang w:val="fr-CH"/>
              </w:rPr>
              <w:t>):</w:t>
            </w:r>
            <w:proofErr w:type="gramEnd"/>
          </w:p>
          <w:p>
            <w:pPr>
              <w:pStyle w:val="tabellegt"/>
              <w:spacing w:line="276" w:lineRule="auto"/>
              <w:rPr>
                <w:rFonts w:ascii="Arial" w:hAnsi="Arial" w:cs="Arial"/>
                <w:lang w:val="fr-CH"/>
              </w:rPr>
            </w:pPr>
            <w:r>
              <w:rPr>
                <w:rFonts w:ascii="Arial" w:hAnsi="Arial" w:cs="Arial"/>
                <w:lang w:val="fr-CH"/>
              </w:rPr>
              <w:t>Les prestations de corps médicaux 6</w:t>
            </w:r>
            <w:r>
              <w:rPr>
                <w:rFonts w:ascii="Arial" w:hAnsi="Arial" w:cs="Arial"/>
                <w:vertAlign w:val="subscript"/>
                <w:lang w:val="fr-CH"/>
              </w:rPr>
              <w:t>a</w:t>
            </w:r>
            <w:r>
              <w:rPr>
                <w:rFonts w:ascii="Arial" w:hAnsi="Arial" w:cs="Arial"/>
                <w:lang w:val="fr-CH"/>
              </w:rPr>
              <w:t xml:space="preserve"> sont-elles saisies à l’aide de minutes effectives pondérées (FS</w:t>
            </w:r>
            <w:proofErr w:type="gramStart"/>
            <w:r>
              <w:rPr>
                <w:rFonts w:ascii="Arial" w:hAnsi="Arial" w:cs="Arial"/>
                <w:lang w:val="fr-CH"/>
              </w:rPr>
              <w:t>)?</w:t>
            </w:r>
            <w:proofErr w:type="gramEnd"/>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820541426"/>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Documentation sur la saisie des prestations selon les domaines d’activité</w:t>
            </w:r>
            <w:r>
              <w:rPr>
                <w:rFonts w:ascii="Arial" w:hAnsi="Arial" w:cs="Arial"/>
                <w:lang w:val="fr-CH"/>
              </w:rPr>
              <w:t xml:space="preserve"> définis </w:t>
            </w:r>
            <w:r>
              <w:rPr>
                <w:rFonts w:ascii="Arial" w:hAnsi="Arial" w:cs="Arial"/>
                <w:lang w:val="fr-CH"/>
              </w:rPr>
              <w:t xml:space="preserve">dans </w:t>
            </w:r>
            <w:r>
              <w:rPr>
                <w:rFonts w:ascii="Arial" w:hAnsi="Arial" w:cs="Arial"/>
                <w:lang w:val="fr-CH"/>
              </w:rPr>
              <w:t>REKOLE</w:t>
            </w:r>
            <w:r>
              <w:rPr>
                <w:rFonts w:ascii="Arial" w:hAnsi="Arial" w:cs="Arial"/>
                <w:vertAlign w:val="superscript"/>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569723697"/>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tabs>
                <w:tab w:val="left" w:pos="340"/>
                <w:tab w:val="left" w:pos="2400"/>
                <w:tab w:val="left" w:pos="2940"/>
              </w:tabs>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les corps médicaux des spécialisations suivantes sont imputés au moyen de leur environnement technique nécessaire à l’accomplissement de leurs propres prestations (personnel et infrastructure)</w:t>
            </w:r>
          </w:p>
          <w:p>
            <w:pPr>
              <w:pStyle w:val="tabelleliste"/>
              <w:numPr>
                <w:ilvl w:val="0"/>
                <w:numId w:val="48"/>
              </w:numPr>
              <w:tabs>
                <w:tab w:val="left" w:pos="2400"/>
                <w:tab w:val="left" w:pos="2940"/>
              </w:tabs>
              <w:spacing w:line="276" w:lineRule="auto"/>
              <w:ind w:left="351"/>
              <w:rPr>
                <w:rFonts w:ascii="Arial" w:hAnsi="Arial" w:cs="Arial"/>
                <w:lang w:val="fr-CH"/>
              </w:rPr>
            </w:pPr>
            <w:r>
              <w:rPr>
                <w:rFonts w:ascii="Arial" w:hAnsi="Arial" w:cs="Arial"/>
                <w:lang w:val="fr-CH"/>
              </w:rPr>
              <w:t>Anesthésie</w:t>
            </w:r>
            <w:r>
              <w:rPr>
                <w:rFonts w:ascii="Arial" w:hAnsi="Arial" w:cs="Arial"/>
                <w:lang w:val="fr-CH"/>
              </w:rPr>
              <w:tab/>
            </w:r>
            <w:r>
              <w:rPr>
                <w:rFonts w:ascii="Arial" w:hAnsi="Arial" w:cs="Arial"/>
                <w:lang w:val="fr-CH"/>
              </w:rPr>
              <w:sym w:font="Wingdings" w:char="F0E0"/>
            </w:r>
            <w:r>
              <w:rPr>
                <w:rFonts w:ascii="Arial" w:hAnsi="Arial" w:cs="Arial"/>
                <w:lang w:val="fr-CH"/>
              </w:rPr>
              <w:tab/>
            </w:r>
            <w:r>
              <w:rPr>
                <w:rStyle w:val="ExpertGrundschrift"/>
                <w:rFonts w:ascii="Arial" w:hAnsi="Arial" w:cs="Arial"/>
                <w:lang w:val="fr-CH"/>
              </w:rPr>
              <w:t>23</w:t>
            </w:r>
            <w:r>
              <w:rPr>
                <w:rFonts w:ascii="Arial" w:hAnsi="Arial" w:cs="Arial"/>
                <w:lang w:val="fr-CH"/>
              </w:rPr>
              <w:t xml:space="preserve"> Anesthésie</w:t>
            </w:r>
          </w:p>
          <w:p>
            <w:pPr>
              <w:pStyle w:val="tabelleliste"/>
              <w:numPr>
                <w:ilvl w:val="0"/>
                <w:numId w:val="48"/>
              </w:numPr>
              <w:tabs>
                <w:tab w:val="left" w:pos="2400"/>
                <w:tab w:val="left" w:pos="2940"/>
              </w:tabs>
              <w:spacing w:line="276" w:lineRule="auto"/>
              <w:ind w:left="351"/>
              <w:rPr>
                <w:rFonts w:ascii="Arial" w:hAnsi="Arial" w:cs="Arial"/>
                <w:lang w:val="fr-CH"/>
              </w:rPr>
            </w:pPr>
            <w:r>
              <w:rPr>
                <w:rFonts w:ascii="Arial" w:hAnsi="Arial" w:cs="Arial"/>
                <w:lang w:val="fr-CH"/>
              </w:rPr>
              <w:t>Radiologie, etc.</w:t>
            </w:r>
            <w:r>
              <w:rPr>
                <w:rFonts w:ascii="Arial" w:hAnsi="Arial" w:cs="Arial"/>
                <w:lang w:val="fr-CH"/>
              </w:rPr>
              <w:tab/>
            </w:r>
            <w:r>
              <w:rPr>
                <w:rFonts w:ascii="Arial" w:hAnsi="Arial" w:cs="Arial"/>
                <w:lang w:val="fr-CH"/>
              </w:rPr>
              <w:sym w:font="Wingdings" w:char="F0E0"/>
            </w:r>
            <w:r>
              <w:rPr>
                <w:rFonts w:ascii="Arial" w:hAnsi="Arial" w:cs="Arial"/>
                <w:lang w:val="fr-CH"/>
              </w:rPr>
              <w:tab/>
            </w:r>
            <w:r>
              <w:rPr>
                <w:rStyle w:val="ExpertGrundschrift"/>
                <w:rFonts w:ascii="Arial" w:hAnsi="Arial" w:cs="Arial"/>
                <w:lang w:val="fr-CH"/>
              </w:rPr>
              <w:t>26</w:t>
            </w:r>
            <w:r>
              <w:rPr>
                <w:rFonts w:ascii="Arial" w:hAnsi="Arial" w:cs="Arial"/>
                <w:lang w:val="fr-CH"/>
              </w:rPr>
              <w:t xml:space="preserve"> Procédé d’imagerie médicale</w:t>
            </w:r>
          </w:p>
          <w:p>
            <w:pPr>
              <w:pStyle w:val="tabelleliste"/>
              <w:numPr>
                <w:ilvl w:val="0"/>
                <w:numId w:val="48"/>
              </w:numPr>
              <w:tabs>
                <w:tab w:val="left" w:pos="2400"/>
                <w:tab w:val="left" w:pos="2940"/>
              </w:tabs>
              <w:spacing w:line="276" w:lineRule="auto"/>
              <w:ind w:left="351"/>
              <w:rPr>
                <w:rFonts w:ascii="Arial" w:hAnsi="Arial" w:cs="Arial"/>
                <w:lang w:val="fr-CH"/>
              </w:rPr>
            </w:pPr>
            <w:r>
              <w:rPr>
                <w:rFonts w:ascii="Arial" w:hAnsi="Arial" w:cs="Arial"/>
                <w:lang w:val="fr-CH"/>
              </w:rPr>
              <w:t>Médecine nucléaire, etc.</w:t>
            </w:r>
            <w:r>
              <w:rPr>
                <w:rFonts w:ascii="Arial" w:hAnsi="Arial" w:cs="Arial"/>
                <w:lang w:val="fr-CH"/>
              </w:rPr>
              <w:tab/>
            </w:r>
            <w:r>
              <w:rPr>
                <w:rFonts w:ascii="Arial" w:hAnsi="Arial" w:cs="Arial"/>
                <w:lang w:val="fr-CH"/>
              </w:rPr>
              <w:sym w:font="Wingdings" w:char="F0E0"/>
            </w:r>
            <w:r>
              <w:rPr>
                <w:rFonts w:ascii="Arial" w:hAnsi="Arial" w:cs="Arial"/>
                <w:lang w:val="fr-CH"/>
              </w:rPr>
              <w:tab/>
            </w:r>
            <w:r>
              <w:rPr>
                <w:rStyle w:val="ExpertGrundschrift"/>
                <w:rFonts w:ascii="Arial" w:hAnsi="Arial" w:cs="Arial"/>
                <w:lang w:val="fr-CH"/>
              </w:rPr>
              <w:t>28</w:t>
            </w:r>
            <w:r>
              <w:rPr>
                <w:rFonts w:ascii="Arial" w:hAnsi="Arial" w:cs="Arial"/>
                <w:lang w:val="fr-CH"/>
              </w:rPr>
              <w:t xml:space="preserve"> Médecine nucléaire et radiooncologie</w:t>
            </w:r>
          </w:p>
          <w:p>
            <w:pPr>
              <w:pStyle w:val="tabelleliste"/>
              <w:numPr>
                <w:ilvl w:val="0"/>
                <w:numId w:val="48"/>
              </w:numPr>
              <w:tabs>
                <w:tab w:val="left" w:pos="2400"/>
                <w:tab w:val="left" w:pos="2940"/>
              </w:tabs>
              <w:spacing w:line="276" w:lineRule="auto"/>
              <w:ind w:left="351"/>
              <w:rPr>
                <w:rFonts w:ascii="Arial" w:hAnsi="Arial" w:cs="Arial"/>
                <w:lang w:val="fr-CH"/>
              </w:rPr>
            </w:pPr>
            <w:r>
              <w:rPr>
                <w:rFonts w:ascii="Arial" w:hAnsi="Arial" w:cs="Arial"/>
                <w:lang w:val="fr-CH"/>
              </w:rPr>
              <w:t>Médecine de laboratoire</w:t>
            </w:r>
            <w:r>
              <w:rPr>
                <w:rFonts w:ascii="Arial" w:hAnsi="Arial" w:cs="Arial"/>
                <w:lang w:val="fr-CH"/>
              </w:rPr>
              <w:tab/>
            </w:r>
            <w:r>
              <w:rPr>
                <w:rFonts w:ascii="Arial" w:hAnsi="Arial" w:cs="Arial"/>
                <w:lang w:val="fr-CH"/>
              </w:rPr>
              <w:sym w:font="Wingdings" w:char="F0E0"/>
            </w:r>
            <w:r>
              <w:rPr>
                <w:rFonts w:ascii="Arial" w:hAnsi="Arial" w:cs="Arial"/>
                <w:lang w:val="fr-CH"/>
              </w:rPr>
              <w:tab/>
            </w:r>
            <w:r>
              <w:rPr>
                <w:rStyle w:val="ExpertGrundschrift"/>
                <w:rFonts w:ascii="Arial" w:hAnsi="Arial" w:cs="Arial"/>
                <w:lang w:val="fr-CH"/>
              </w:rPr>
              <w:t>29</w:t>
            </w:r>
            <w:r>
              <w:rPr>
                <w:rFonts w:ascii="Arial" w:hAnsi="Arial" w:cs="Arial"/>
                <w:lang w:val="fr-CH"/>
              </w:rPr>
              <w:t xml:space="preserve"> Laboratoire</w:t>
            </w:r>
          </w:p>
          <w:p>
            <w:pPr>
              <w:pStyle w:val="tabelleliste"/>
              <w:numPr>
                <w:ilvl w:val="0"/>
                <w:numId w:val="48"/>
              </w:numPr>
              <w:tabs>
                <w:tab w:val="left" w:pos="2400"/>
                <w:tab w:val="left" w:pos="2940"/>
              </w:tabs>
              <w:spacing w:line="276" w:lineRule="auto"/>
              <w:ind w:left="351"/>
              <w:rPr>
                <w:rFonts w:ascii="Arial" w:hAnsi="Arial" w:cs="Arial"/>
                <w:lang w:val="fr-CH"/>
              </w:rPr>
            </w:pPr>
            <w:r>
              <w:rPr>
                <w:rFonts w:ascii="Arial" w:hAnsi="Arial" w:cs="Arial"/>
                <w:lang w:val="fr-CH"/>
              </w:rPr>
              <w:t>Dialyses</w:t>
            </w:r>
            <w:r>
              <w:rPr>
                <w:rFonts w:ascii="Arial" w:hAnsi="Arial" w:cs="Arial"/>
                <w:lang w:val="fr-CH"/>
              </w:rPr>
              <w:tab/>
            </w:r>
            <w:r>
              <w:rPr>
                <w:rFonts w:ascii="Arial" w:hAnsi="Arial" w:cs="Arial"/>
                <w:lang w:val="fr-CH"/>
              </w:rPr>
              <w:sym w:font="Wingdings" w:char="F0E0"/>
            </w:r>
            <w:r>
              <w:rPr>
                <w:rFonts w:ascii="Arial" w:hAnsi="Arial" w:cs="Arial"/>
                <w:lang w:val="fr-CH"/>
              </w:rPr>
              <w:tab/>
            </w:r>
            <w:r>
              <w:rPr>
                <w:rStyle w:val="ExpertGrundschrift"/>
                <w:rFonts w:ascii="Arial" w:hAnsi="Arial" w:cs="Arial"/>
                <w:lang w:val="fr-CH"/>
              </w:rPr>
              <w:t>30</w:t>
            </w:r>
            <w:r>
              <w:rPr>
                <w:rFonts w:ascii="Arial" w:hAnsi="Arial" w:cs="Arial"/>
                <w:lang w:val="fr-CH"/>
              </w:rPr>
              <w:t xml:space="preserve"> Dialyse</w:t>
            </w:r>
            <w:r>
              <w:rPr>
                <w:rFonts w:ascii="Arial" w:hAnsi="Arial" w:cs="Arial"/>
                <w:lang w:val="fr-CH"/>
              </w:rPr>
              <w:t>s</w:t>
            </w:r>
          </w:p>
          <w:p>
            <w:pPr>
              <w:pStyle w:val="tabelleliste"/>
              <w:numPr>
                <w:ilvl w:val="0"/>
                <w:numId w:val="48"/>
              </w:numPr>
              <w:tabs>
                <w:tab w:val="left" w:pos="2400"/>
                <w:tab w:val="left" w:pos="2940"/>
              </w:tabs>
              <w:spacing w:line="276" w:lineRule="auto"/>
              <w:ind w:left="351"/>
              <w:rPr>
                <w:rFonts w:ascii="Arial" w:hAnsi="Arial" w:cs="Arial"/>
                <w:lang w:val="fr-CH"/>
              </w:rPr>
            </w:pPr>
            <w:r>
              <w:rPr>
                <w:rFonts w:ascii="Arial" w:hAnsi="Arial" w:cs="Arial"/>
                <w:lang w:val="fr-CH"/>
              </w:rPr>
              <w:t>Pathologie</w:t>
            </w:r>
            <w:r>
              <w:rPr>
                <w:rFonts w:ascii="Arial" w:hAnsi="Arial" w:cs="Arial"/>
                <w:lang w:val="fr-CH"/>
              </w:rPr>
              <w:tab/>
            </w:r>
            <w:r>
              <w:rPr>
                <w:rFonts w:ascii="Arial" w:hAnsi="Arial" w:cs="Arial"/>
                <w:lang w:val="fr-CH"/>
              </w:rPr>
              <w:sym w:font="Wingdings" w:char="F0E0"/>
            </w:r>
            <w:r>
              <w:rPr>
                <w:rFonts w:ascii="Arial" w:hAnsi="Arial" w:cs="Arial"/>
                <w:lang w:val="fr-CH"/>
              </w:rPr>
              <w:tab/>
            </w:r>
            <w:r>
              <w:rPr>
                <w:rStyle w:val="ExpertGrundschrift"/>
                <w:rFonts w:ascii="Arial" w:hAnsi="Arial" w:cs="Arial"/>
                <w:lang w:val="fr-CH"/>
              </w:rPr>
              <w:t>45</w:t>
            </w:r>
            <w:r>
              <w:rPr>
                <w:rFonts w:ascii="Arial" w:hAnsi="Arial" w:cs="Arial"/>
                <w:lang w:val="fr-CH"/>
              </w:rPr>
              <w:t xml:space="preserve"> Pathologie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gt"/>
              <w:spacing w:line="276" w:lineRule="auto"/>
              <w:rPr>
                <w:rFonts w:ascii="Arial" w:hAnsi="Arial" w:cs="Arial"/>
                <w:lang w:val="fr-CH"/>
              </w:rPr>
            </w:pPr>
            <w:r>
              <w:rPr>
                <w:rFonts w:ascii="Arial" w:hAnsi="Arial" w:cs="Arial"/>
                <w:lang w:val="fr-CH"/>
              </w:rPr>
              <w:t xml:space="preserve"> </w:t>
            </w:r>
          </w:p>
        </w:tc>
      </w:tr>
      <w:tr>
        <w:trPr>
          <w:trHeight w:val="122"/>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10.5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Soins infirmiers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331252367"/>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les prestations de soins infirmiers sont saisies</w:t>
            </w:r>
            <w:r>
              <w:rPr>
                <w:rFonts w:ascii="Arial" w:hAnsi="Arial" w:cs="Arial"/>
                <w:lang w:val="fr-CH"/>
              </w:rPr>
              <w:t xml:space="preserve"> en fonction de l’unité finale d’imputation et dans leur intégralité</w:t>
            </w:r>
            <w:r>
              <w:rPr>
                <w:rFonts w:ascii="Arial" w:hAnsi="Arial" w:cs="Arial"/>
                <w:lang w:val="fr-CH"/>
              </w:rPr>
              <w:t xml:space="preserve"> en minutes (minutes effectives ou normatives).</w:t>
            </w:r>
          </w:p>
          <w:p>
            <w:pPr>
              <w:pStyle w:val="tabellegt"/>
              <w:spacing w:line="276" w:lineRule="auto"/>
              <w:rPr>
                <w:rFonts w:ascii="Arial" w:hAnsi="Arial" w:cs="Arial"/>
                <w:lang w:val="fr-CH"/>
              </w:rPr>
            </w:pPr>
          </w:p>
          <w:p>
            <w:pPr>
              <w:pStyle w:val="tabellegt"/>
              <w:spacing w:line="276" w:lineRule="auto"/>
              <w:rPr>
                <w:rFonts w:ascii="Arial" w:hAnsi="Arial" w:cs="Arial"/>
                <w:lang w:val="fr-CH"/>
              </w:rPr>
            </w:pPr>
            <w:proofErr w:type="gramStart"/>
            <w:r>
              <w:rPr>
                <w:rFonts w:ascii="Arial" w:eastAsia="TheMix-HP3Lig" w:hAnsi="Arial" w:cs="Arial"/>
                <w:color w:val="005292"/>
                <w:lang w:val="fr-CH"/>
              </w:rPr>
              <w:t>Note:</w:t>
            </w:r>
            <w:proofErr w:type="gramEnd"/>
            <w:r>
              <w:rPr>
                <w:rFonts w:ascii="Arial" w:eastAsia="TheMix-HP3Lig" w:hAnsi="Arial" w:cs="Arial"/>
                <w:color w:val="005292"/>
                <w:lang w:val="fr-CH"/>
              </w:rPr>
              <w:t xml:space="preserve"> La saisie des prestations de soins doit être en lien direct à la fois avec l’hôpital, le cas et la prestation. Une saisie liée à la durée de séjour et/ou une saisie normalisée suivant des moyennes nationales, sans lien avec les prestations requises par le cas, ne sont pas autorisées </w:t>
            </w:r>
            <w:r>
              <w:rPr>
                <w:rFonts w:ascii="Arial" w:eastAsia="TheMix-HP3Lig" w:hAnsi="Arial" w:cs="Arial"/>
                <w:color w:val="005292"/>
                <w:lang w:val="fr-CH"/>
              </w:rPr>
              <w:t>(REK 16_004).</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10.6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Hôtellerie-chambre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366061034"/>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Enregistrement de l’étude périodique et empirique de la pondération pour le calcul des prestations du centre de charges obligatoire Hôtellerie-chambre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10.7</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Centres d’activité médico-techniques et thérapeutiques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10054752"/>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toutes les prestations des domaines médico-techniques et thérapeutiques sont saisies et évaluées</w:t>
            </w:r>
            <w:r>
              <w:rPr>
                <w:rFonts w:ascii="Arial" w:hAnsi="Arial" w:cs="Arial"/>
                <w:lang w:val="fr-CH"/>
              </w:rPr>
              <w:t xml:space="preserve"> en fonction de l’unité finale d’imputation et dans leur intégralité</w:t>
            </w:r>
            <w:r>
              <w:rPr>
                <w:rFonts w:ascii="Arial" w:hAnsi="Arial" w:cs="Arial"/>
                <w:lang w:val="fr-CH"/>
              </w:rPr>
              <w:t xml:space="preserve"> au moyen du point tarifaire et/ou </w:t>
            </w:r>
            <w:r>
              <w:rPr>
                <w:rFonts w:ascii="Arial" w:hAnsi="Arial" w:cs="Arial"/>
                <w:lang w:val="fr-CH"/>
              </w:rPr>
              <w:t>en minutes</w:t>
            </w:r>
            <w:r>
              <w:rPr>
                <w:rFonts w:ascii="Arial"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bl>
    <w:p>
      <w:pPr>
        <w:rPr>
          <w:lang w:val="fr-CH"/>
        </w:rPr>
      </w:pPr>
      <w:r>
        <w:rPr>
          <w:lang w:val="fr-CH"/>
        </w:rPr>
        <w:br w:type="page"/>
      </w:r>
    </w:p>
    <w:tbl>
      <w:tblPr>
        <w:tblW w:w="9798" w:type="dxa"/>
        <w:tblInd w:w="108" w:type="dxa"/>
        <w:tblLayout w:type="fixed"/>
        <w:tblCellMar>
          <w:left w:w="0" w:type="dxa"/>
          <w:right w:w="0" w:type="dxa"/>
        </w:tblCellMar>
        <w:tblLook w:val="0000" w:firstRow="0" w:lastRow="0" w:firstColumn="0" w:lastColumn="0" w:noHBand="0" w:noVBand="0"/>
      </w:tblPr>
      <w:tblGrid>
        <w:gridCol w:w="675"/>
        <w:gridCol w:w="6401"/>
        <w:gridCol w:w="2722"/>
      </w:tblGrid>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261673466"/>
              <w14:checkbox>
                <w14:checked w14:val="0"/>
                <w14:checkedState w14:val="2612" w14:font="MS Gothic"/>
                <w14:uncheckedState w14:val="2610" w14:font="MS Gothic"/>
              </w14:checkbox>
            </w:sdtPr>
            <w:sdtEndPr/>
            <w:sdtContent>
              <w:p>
                <w:pPr>
                  <w:pStyle w:val="tabellegt"/>
                  <w:spacing w:line="276" w:lineRule="auto"/>
                  <w:rPr>
                    <w:rFonts w:ascii="Arial" w:hAnsi="Arial" w:cs="Arial"/>
                    <w:color w:val="auto"/>
                    <w:sz w:val="22"/>
                    <w:szCs w:val="22"/>
                    <w:lang w:val="fr-CH"/>
                  </w:rPr>
                </w:pPr>
                <w:r>
                  <w:rPr>
                    <w:rFonts w:ascii="MS Gothic" w:eastAsia="MS Gothic" w:hAnsi="MS Gothic" w:cs="Arial" w:hint="eastAsia"/>
                    <w:lang w:val="fr-CH"/>
                  </w:rPr>
                  <w:t>☐</w:t>
                </w:r>
              </w:p>
            </w:sdtContent>
          </w:sdt>
          <w:p>
            <w:pPr>
              <w:pStyle w:val="tabellegt"/>
              <w:spacing w:line="276" w:lineRule="auto"/>
              <w:rPr>
                <w:rFonts w:ascii="Arial" w:hAnsi="Arial" w:cs="Arial"/>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pour les </w:t>
            </w:r>
            <w:r>
              <w:rPr>
                <w:rFonts w:ascii="Arial" w:hAnsi="Arial" w:cs="Arial"/>
                <w:lang w:val="fr-CH"/>
              </w:rPr>
              <w:t>activités effectuées</w:t>
            </w:r>
            <w:r>
              <w:rPr>
                <w:rFonts w:ascii="Arial" w:hAnsi="Arial" w:cs="Arial"/>
                <w:lang w:val="fr-CH"/>
              </w:rPr>
              <w:t xml:space="preserve"> en salle d’opération le temps incision/couture est utilisé.</w:t>
            </w:r>
          </w:p>
          <w:p>
            <w:pPr>
              <w:pStyle w:val="tabellegt"/>
              <w:spacing w:line="276" w:lineRule="auto"/>
              <w:rPr>
                <w:rFonts w:ascii="Arial" w:hAnsi="Arial" w:cs="Arial"/>
                <w:lang w:val="fr-CH"/>
              </w:rPr>
            </w:pPr>
            <w:r>
              <w:rPr>
                <w:rFonts w:ascii="Arial" w:hAnsi="Arial" w:cs="Arial"/>
                <w:lang w:val="fr-CH"/>
              </w:rPr>
              <w:t>La décision REK 14_006 s’applique à partir du 1</w:t>
            </w:r>
            <w:r>
              <w:rPr>
                <w:rFonts w:ascii="Arial" w:hAnsi="Arial" w:cs="Arial"/>
                <w:vertAlign w:val="superscript"/>
                <w:lang w:val="fr-CH"/>
              </w:rPr>
              <w:t>er</w:t>
            </w:r>
            <w:r>
              <w:rPr>
                <w:rFonts w:ascii="Arial" w:hAnsi="Arial" w:cs="Arial"/>
                <w:lang w:val="fr-CH"/>
              </w:rPr>
              <w:t xml:space="preserve"> janvier 2018 (pertinent pour la certification à compter du 1</w:t>
            </w:r>
            <w:r>
              <w:rPr>
                <w:rFonts w:ascii="Arial" w:hAnsi="Arial" w:cs="Arial"/>
                <w:vertAlign w:val="superscript"/>
                <w:lang w:val="fr-CH"/>
              </w:rPr>
              <w:t>er</w:t>
            </w:r>
            <w:r>
              <w:rPr>
                <w:rFonts w:ascii="Arial" w:hAnsi="Arial" w:cs="Arial"/>
                <w:lang w:val="fr-CH"/>
              </w:rPr>
              <w:t xml:space="preserve"> janvier 2019</w:t>
            </w:r>
            <w:proofErr w:type="gramStart"/>
            <w:r>
              <w:rPr>
                <w:rFonts w:ascii="Arial" w:hAnsi="Arial" w:cs="Arial"/>
                <w:lang w:val="fr-CH"/>
              </w:rPr>
              <w:t>):</w:t>
            </w:r>
            <w:proofErr w:type="gramEnd"/>
          </w:p>
          <w:p>
            <w:pPr>
              <w:pStyle w:val="tabellegt"/>
              <w:spacing w:line="276" w:lineRule="auto"/>
              <w:rPr>
                <w:rFonts w:ascii="Arial" w:eastAsia="TheMix-HP3Lig" w:hAnsi="Arial" w:cs="Arial"/>
                <w:lang w:val="fr-CH"/>
              </w:rPr>
            </w:pPr>
            <w:proofErr w:type="gramStart"/>
            <w:r>
              <w:rPr>
                <w:rFonts w:ascii="Arial" w:hAnsi="Arial" w:cs="Arial"/>
                <w:lang w:val="fr-CH"/>
              </w:rPr>
              <w:t>Vérification:</w:t>
            </w:r>
            <w:proofErr w:type="gramEnd"/>
            <w:r>
              <w:rPr>
                <w:rFonts w:ascii="Arial" w:hAnsi="Arial" w:cs="Arial"/>
                <w:lang w:val="fr-CH"/>
              </w:rPr>
              <w:t xml:space="preserve"> les activités exercées en salle OP sont-elles intégralement saisies à l’aide des minutes effectives conformément à la période de temps définie </w:t>
            </w:r>
            <w:r>
              <w:rPr>
                <w:rFonts w:ascii="Arial" w:hAnsi="Arial" w:cs="Arial"/>
                <w:lang w:val="fr-CH"/>
              </w:rPr>
              <w:t xml:space="preserve">par </w:t>
            </w:r>
            <w:r>
              <w:rPr>
                <w:rFonts w:ascii="Arial" w:eastAsia="TheMix-HP3Lig" w:hAnsi="Arial" w:cs="Arial"/>
                <w:lang w:val="fr-CH"/>
              </w:rPr>
              <w:t>REKOLE</w:t>
            </w:r>
            <w:r>
              <w:rPr>
                <w:rFonts w:ascii="Arial" w:eastAsia="TheMix-HP3Lig" w:hAnsi="Arial" w:cs="Arial"/>
                <w:vertAlign w:val="superscript"/>
                <w:lang w:val="fr-CH"/>
              </w:rPr>
              <w:t>®</w:t>
            </w:r>
            <w:r>
              <w:rPr>
                <w:rFonts w:ascii="Arial" w:eastAsia="TheMix-HP3Lig"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840536818"/>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Bdr>
                <w:bar w:val="single" w:sz="4" w:color="804040"/>
              </w:pBdr>
              <w:autoSpaceDE w:val="0"/>
              <w:autoSpaceDN w:val="0"/>
              <w:adjustRightInd w:val="0"/>
              <w:spacing w:line="276" w:lineRule="auto"/>
              <w:textAlignment w:val="center"/>
              <w:rPr>
                <w:rFonts w:cs="Arial"/>
                <w:sz w:val="18"/>
                <w:szCs w:val="18"/>
                <w:lang w:val="fr-CH" w:eastAsia="de-DE"/>
              </w:rPr>
            </w:pPr>
            <w:proofErr w:type="gramStart"/>
            <w:r>
              <w:rPr>
                <w:rFonts w:cs="Arial"/>
                <w:sz w:val="18"/>
                <w:szCs w:val="18"/>
                <w:lang w:val="fr-CH" w:eastAsia="de-DE"/>
              </w:rPr>
              <w:t>Vérification:</w:t>
            </w:r>
            <w:proofErr w:type="gramEnd"/>
            <w:r>
              <w:rPr>
                <w:rFonts w:cs="Arial"/>
                <w:sz w:val="18"/>
                <w:szCs w:val="18"/>
                <w:lang w:val="fr-CH" w:eastAsia="de-DE"/>
              </w:rPr>
              <w:t xml:space="preserve"> pour l’anesthésie, le temps considéré comprend</w:t>
            </w:r>
            <w:r>
              <w:rPr>
                <w:rFonts w:cs="Arial"/>
                <w:sz w:val="18"/>
                <w:szCs w:val="18"/>
                <w:lang w:val="fr-CH" w:eastAsia="de-DE"/>
              </w:rPr>
              <w:t xml:space="preserve"> l’induction et le réveil, y c. le temps de réveil</w:t>
            </w:r>
            <w:r>
              <w:rPr>
                <w:rFonts w:cs="Arial"/>
                <w:sz w:val="18"/>
                <w:szCs w:val="18"/>
                <w:lang w:val="fr-CH" w:eastAsia="de-DE"/>
              </w:rPr>
              <w:t>.</w:t>
            </w:r>
          </w:p>
          <w:p>
            <w:pPr>
              <w:pStyle w:val="tabellegt"/>
              <w:spacing w:line="276" w:lineRule="auto"/>
              <w:rPr>
                <w:rFonts w:ascii="Arial" w:hAnsi="Arial" w:cs="Arial"/>
                <w:lang w:val="fr-CH"/>
              </w:rPr>
            </w:pPr>
            <w:r>
              <w:rPr>
                <w:rFonts w:ascii="Arial" w:hAnsi="Arial" w:cs="Arial"/>
                <w:lang w:val="fr-CH"/>
              </w:rPr>
              <w:t>La décision REK 14_006 s’applique à partir du 1</w:t>
            </w:r>
            <w:r>
              <w:rPr>
                <w:rFonts w:ascii="Arial" w:hAnsi="Arial" w:cs="Arial"/>
                <w:vertAlign w:val="superscript"/>
                <w:lang w:val="fr-CH"/>
              </w:rPr>
              <w:t>er</w:t>
            </w:r>
            <w:r>
              <w:rPr>
                <w:rFonts w:ascii="Arial" w:hAnsi="Arial" w:cs="Arial"/>
                <w:lang w:val="fr-CH"/>
              </w:rPr>
              <w:t xml:space="preserve"> janvier 2018 (pertinent pour la certification à compter du 1</w:t>
            </w:r>
            <w:r>
              <w:rPr>
                <w:rFonts w:ascii="Arial" w:hAnsi="Arial" w:cs="Arial"/>
                <w:vertAlign w:val="superscript"/>
                <w:lang w:val="fr-CH"/>
              </w:rPr>
              <w:t>er</w:t>
            </w:r>
            <w:r>
              <w:rPr>
                <w:rFonts w:ascii="Arial" w:hAnsi="Arial" w:cs="Arial"/>
                <w:lang w:val="fr-CH"/>
              </w:rPr>
              <w:t xml:space="preserve"> janvier 2019</w:t>
            </w:r>
            <w:proofErr w:type="gramStart"/>
            <w:r>
              <w:rPr>
                <w:rFonts w:ascii="Arial" w:hAnsi="Arial" w:cs="Arial"/>
                <w:lang w:val="fr-CH"/>
              </w:rPr>
              <w:t>):</w:t>
            </w:r>
            <w:proofErr w:type="gramEnd"/>
          </w:p>
          <w:p>
            <w:pPr>
              <w:pStyle w:val="tabellegt"/>
              <w:spacing w:line="276" w:lineRule="auto"/>
              <w:rPr>
                <w:rFonts w:ascii="Arial" w:eastAsia="TheMix-HP3Lig" w:hAnsi="Arial" w:cs="Arial"/>
                <w:lang w:val="fr-CH"/>
              </w:rPr>
            </w:pPr>
            <w:proofErr w:type="gramStart"/>
            <w:r>
              <w:rPr>
                <w:rFonts w:ascii="Arial" w:hAnsi="Arial" w:cs="Arial"/>
                <w:lang w:val="fr-CH"/>
              </w:rPr>
              <w:t>Vérification:</w:t>
            </w:r>
            <w:proofErr w:type="gramEnd"/>
            <w:r>
              <w:rPr>
                <w:rFonts w:ascii="Arial" w:hAnsi="Arial" w:cs="Arial"/>
                <w:lang w:val="fr-CH"/>
              </w:rPr>
              <w:t xml:space="preserve"> les prestations d’anesthésie liées ou non aux salles OP sont-elles intégralement saisies à l’aide des minutes effectives conformément à la période de temps définie </w:t>
            </w:r>
            <w:r>
              <w:rPr>
                <w:rFonts w:ascii="Arial" w:hAnsi="Arial" w:cs="Arial"/>
                <w:lang w:val="fr-CH"/>
              </w:rPr>
              <w:t xml:space="preserve">par </w:t>
            </w:r>
            <w:r>
              <w:rPr>
                <w:rFonts w:ascii="Arial" w:eastAsia="TheMix-HP3Lig" w:hAnsi="Arial" w:cs="Arial"/>
                <w:lang w:val="fr-CH"/>
              </w:rPr>
              <w:t>REKOLE</w:t>
            </w:r>
            <w:r>
              <w:rPr>
                <w:rFonts w:ascii="Arial" w:eastAsia="TheMix-HP3Lig" w:hAnsi="Arial" w:cs="Arial"/>
                <w:vertAlign w:val="superscript"/>
                <w:lang w:val="fr-CH"/>
              </w:rPr>
              <w:t>®</w:t>
            </w:r>
            <w:r>
              <w:rPr>
                <w:rFonts w:ascii="Arial" w:eastAsia="TheMix-HP3Lig"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10.8</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Centres d’activité fournisseurs de services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788"/>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560442856"/>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w:t>
            </w:r>
            <w:r>
              <w:rPr>
                <w:rFonts w:ascii="Arial" w:hAnsi="Arial" w:cs="Arial"/>
                <w:lang w:val="fr-CH"/>
              </w:rPr>
              <w:t>i</w:t>
            </w:r>
            <w:r>
              <w:rPr>
                <w:rFonts w:ascii="Arial" w:hAnsi="Arial" w:cs="Arial"/>
                <w:lang w:val="fr-CH"/>
              </w:rPr>
              <w:t>cation:</w:t>
            </w:r>
            <w:proofErr w:type="gramEnd"/>
            <w:r>
              <w:rPr>
                <w:rFonts w:ascii="Arial" w:hAnsi="Arial" w:cs="Arial"/>
                <w:lang w:val="fr-CH"/>
              </w:rPr>
              <w:t xml:space="preserve"> pour le centre de charges fournisseurs de services obligatoires 08 Support et service les prestations sont au moins saisies à l’aide de rapports horaires (bloc de charges A) et par branchement (bloc de charges B et C)</w:t>
            </w:r>
            <w:r>
              <w:rPr>
                <w:rFonts w:ascii="Arial"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sdt>
          <w:sdtPr>
            <w:rPr>
              <w:rFonts w:ascii="Arial" w:hAnsi="Arial" w:cs="Arial"/>
              <w:lang w:val="fr-CH"/>
            </w:rPr>
            <w:id w:val="1922528008"/>
            <w14:checkbox>
              <w14:checked w14:val="0"/>
              <w14:checkedState w14:val="2612" w14:font="MS Gothic"/>
              <w14:uncheckedState w14:val="2610" w14:font="MS Gothic"/>
            </w14:checkbox>
          </w:sdtPr>
          <w:sdtEnd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gt"/>
                  <w:spacing w:line="276" w:lineRule="auto"/>
                  <w:rPr>
                    <w:rFonts w:ascii="Arial" w:hAnsi="Arial" w:cs="Arial"/>
                    <w:lang w:val="fr-CH"/>
                  </w:rPr>
                </w:pPr>
                <w:r>
                  <w:rPr>
                    <w:rFonts w:ascii="MS Gothic" w:eastAsia="MS Gothic" w:hAnsi="MS Gothic" w:cs="Arial" w:hint="eastAsia"/>
                    <w:lang w:val="fr-CH"/>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pour le centre de charges fournisseurs de service obligatoires 09 Secrétariat commun les prestations sont au moins saisies à l’aide du temps normatif par mandant.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749799846"/>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w:t>
            </w:r>
            <w:r>
              <w:rPr>
                <w:rFonts w:ascii="Arial" w:hAnsi="Arial" w:cs="Arial"/>
                <w:lang w:val="fr-CH"/>
              </w:rPr>
              <w:t xml:space="preserve">pour </w:t>
            </w:r>
            <w:r>
              <w:rPr>
                <w:rFonts w:ascii="Arial" w:hAnsi="Arial" w:cs="Arial"/>
                <w:lang w:val="fr-CH"/>
              </w:rPr>
              <w:t xml:space="preserve">le centre de charges obligatoire </w:t>
            </w:r>
            <w:r>
              <w:rPr>
                <w:rStyle w:val="ExpertGrundschrift"/>
                <w:rFonts w:ascii="Arial" w:hAnsi="Arial" w:cs="Arial"/>
                <w:lang w:val="fr-CH"/>
              </w:rPr>
              <w:t>05</w:t>
            </w:r>
            <w:r>
              <w:rPr>
                <w:rFonts w:ascii="Arial" w:hAnsi="Arial" w:cs="Arial"/>
                <w:lang w:val="fr-CH"/>
              </w:rPr>
              <w:t xml:space="preserve"> Nettoyage</w:t>
            </w:r>
            <w:r>
              <w:rPr>
                <w:rFonts w:ascii="Arial" w:hAnsi="Arial" w:cs="Arial"/>
                <w:lang w:val="fr-CH"/>
              </w:rPr>
              <w:t>, les prestations sont</w:t>
            </w:r>
            <w:r>
              <w:rPr>
                <w:rFonts w:ascii="Arial" w:hAnsi="Arial" w:cs="Arial"/>
                <w:lang w:val="fr-CH"/>
              </w:rPr>
              <w:t xml:space="preserve"> au moins saisi</w:t>
            </w:r>
            <w:r>
              <w:rPr>
                <w:rFonts w:ascii="Arial" w:hAnsi="Arial" w:cs="Arial"/>
                <w:lang w:val="fr-CH"/>
              </w:rPr>
              <w:t>es</w:t>
            </w:r>
            <w:r>
              <w:rPr>
                <w:rFonts w:ascii="Arial" w:hAnsi="Arial" w:cs="Arial"/>
                <w:lang w:val="fr-CH"/>
              </w:rPr>
              <w:t xml:space="preserve"> au moyen de la surface de nettoyage en m</w:t>
            </w:r>
            <w:r>
              <w:rPr>
                <w:rFonts w:ascii="Arial" w:hAnsi="Arial" w:cs="Arial"/>
                <w:vertAlign w:val="superscript"/>
                <w:lang w:val="fr-CH"/>
              </w:rPr>
              <w:t>2</w:t>
            </w:r>
            <w:r>
              <w:rPr>
                <w:rFonts w:ascii="Arial" w:hAnsi="Arial" w:cs="Arial"/>
                <w:lang w:val="fr-CH"/>
              </w:rPr>
              <w: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Style w:val="ExpertBold"/>
                <w:rFonts w:ascii="Arial" w:hAnsi="Arial" w:cs="Arial"/>
                <w:b/>
                <w:bCs/>
                <w:lang w:val="fr-CH"/>
              </w:rPr>
            </w:pPr>
            <w:r>
              <w:rPr>
                <w:rStyle w:val="ExpertBold"/>
                <w:rFonts w:ascii="Arial" w:hAnsi="Arial" w:cs="Arial"/>
                <w:b/>
                <w:bCs/>
                <w:lang w:val="fr-CH"/>
              </w:rPr>
              <w:t>10.9</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Style w:val="bold"/>
                <w:rFonts w:ascii="Arial" w:hAnsi="Arial" w:cs="Arial"/>
                <w:b/>
                <w:bCs/>
                <w:lang w:val="fr-CH"/>
              </w:rPr>
            </w:pPr>
            <w:r>
              <w:rPr>
                <w:rStyle w:val="bold"/>
                <w:rFonts w:ascii="Arial" w:hAnsi="Arial" w:cs="Arial"/>
                <w:b/>
                <w:bCs/>
                <w:lang w:val="fr-CH"/>
              </w:rPr>
              <w:t>Médicaments, implants, sang, matériel, etc.</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Style w:val="ExpertBold"/>
                <w:rFonts w:ascii="Arial" w:hAnsi="Arial" w:cs="Arial"/>
                <w:b/>
                <w:bCs/>
                <w:lang w:val="fr-CH"/>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Ne fait pas partie de la vérification – pas de questions de contrôle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10.10</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Facture de tiers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277"/>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275846527"/>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les factures de tiers liées au patient sont attribuées directement à l’unité finale d’imputation comme coûts directs.</w:t>
            </w:r>
          </w:p>
          <w:p>
            <w:pPr>
              <w:pStyle w:val="tabellegt"/>
              <w:spacing w:line="276" w:lineRule="auto"/>
              <w:rPr>
                <w:rFonts w:ascii="Arial" w:hAnsi="Arial" w:cs="Arial"/>
                <w:color w:val="005596"/>
                <w:lang w:val="fr-CH"/>
              </w:rPr>
            </w:pPr>
          </w:p>
          <w:p>
            <w:pPr>
              <w:pStyle w:val="tabellegt"/>
              <w:spacing w:line="276" w:lineRule="auto"/>
              <w:rPr>
                <w:rFonts w:ascii="Arial" w:hAnsi="Arial" w:cs="Arial"/>
                <w:lang w:val="fr-CH"/>
              </w:rPr>
            </w:pPr>
            <w:proofErr w:type="gramStart"/>
            <w:r>
              <w:rPr>
                <w:rFonts w:ascii="Arial" w:hAnsi="Arial" w:cs="Arial"/>
                <w:color w:val="005596"/>
                <w:lang w:val="fr-CH"/>
              </w:rPr>
              <w:t>Note:</w:t>
            </w:r>
            <w:proofErr w:type="gramEnd"/>
            <w:r>
              <w:rPr>
                <w:rFonts w:ascii="Arial" w:hAnsi="Arial" w:cs="Arial"/>
                <w:color w:val="005596"/>
                <w:lang w:val="fr-CH"/>
              </w:rPr>
              <w:t xml:space="preserve"> Une saisie statistique des factures de tiers sur un centre de charges de calcul ou le centre de charge obligatoire concerné est envisageable. Pour le transport des </w:t>
            </w:r>
            <w:r>
              <w:rPr>
                <w:rFonts w:ascii="Arial" w:hAnsi="Arial" w:cs="Arial"/>
                <w:color w:val="005596"/>
                <w:lang w:val="fr-CH"/>
              </w:rPr>
              <w:t>patients</w:t>
            </w:r>
            <w:r>
              <w:rPr>
                <w:rFonts w:ascii="Arial" w:hAnsi="Arial" w:cs="Arial"/>
                <w:color w:val="005596"/>
                <w:lang w:val="fr-CH"/>
              </w:rPr>
              <w:t xml:space="preserve">, il faut garder à l’esprit que les transports primaires ne sont pas imputés sur l’unité finale d’imputation de l’hôpital (cas administratif), mais facturés directement au patient. </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428283415"/>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proofErr w:type="gramStart"/>
            <w:r>
              <w:rPr>
                <w:rFonts w:ascii="Arial" w:hAnsi="Arial" w:cs="Arial"/>
                <w:lang w:val="fr-CH"/>
              </w:rPr>
              <w:t>Vérification:</w:t>
            </w:r>
            <w:proofErr w:type="gramEnd"/>
            <w:r>
              <w:rPr>
                <w:rFonts w:ascii="Arial" w:hAnsi="Arial" w:cs="Arial"/>
                <w:lang w:val="fr-CH"/>
              </w:rPr>
              <w:t xml:space="preserve"> les factures de tiers non liées au patient (service de nettoyage, service technique, etc.) sont imputées aux centres de charges correspondants.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bl>
    <w:p>
      <w:pPr>
        <w:spacing w:line="276" w:lineRule="auto"/>
        <w:rPr>
          <w:lang w:val="fr-CH"/>
        </w:rPr>
      </w:pPr>
      <w:r>
        <w:rPr>
          <w:b/>
          <w:bCs/>
          <w:lang w:val="fr-CH"/>
        </w:rPr>
        <w:br w:type="page"/>
      </w:r>
    </w:p>
    <w:tbl>
      <w:tblPr>
        <w:tblW w:w="9798" w:type="dxa"/>
        <w:tblInd w:w="108" w:type="dxa"/>
        <w:tblLayout w:type="fixed"/>
        <w:tblCellMar>
          <w:left w:w="0" w:type="dxa"/>
          <w:right w:w="0" w:type="dxa"/>
        </w:tblCellMar>
        <w:tblLook w:val="0000" w:firstRow="0" w:lastRow="0" w:firstColumn="0" w:lastColumn="0" w:noHBand="0" w:noVBand="0"/>
      </w:tblPr>
      <w:tblGrid>
        <w:gridCol w:w="675"/>
        <w:gridCol w:w="6401"/>
        <w:gridCol w:w="2722"/>
      </w:tblGrid>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pPr>
              <w:pStyle w:val="tabelletitel"/>
              <w:spacing w:line="276" w:lineRule="auto"/>
              <w:rPr>
                <w:rFonts w:ascii="Arial" w:hAnsi="Arial" w:cs="Arial"/>
                <w:lang w:val="fr-CH"/>
              </w:rPr>
            </w:pPr>
            <w:r>
              <w:rPr>
                <w:rStyle w:val="ExpertLight"/>
                <w:rFonts w:ascii="Arial" w:hAnsi="Arial" w:cs="Arial"/>
                <w:lang w:val="fr-CH"/>
              </w:rPr>
              <w:lastRenderedPageBreak/>
              <w:t>11</w:t>
            </w:r>
          </w:p>
        </w:tc>
        <w:tc>
          <w:tcPr>
            <w:tcW w:w="6401"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19" w:type="dxa"/>
            </w:tcMar>
          </w:tcPr>
          <w:p>
            <w:pPr>
              <w:pStyle w:val="tabelletitel"/>
              <w:spacing w:line="276" w:lineRule="auto"/>
              <w:rPr>
                <w:rFonts w:ascii="Arial" w:hAnsi="Arial" w:cs="Arial"/>
                <w:lang w:val="fr-CH"/>
              </w:rPr>
            </w:pPr>
            <w:r>
              <w:rPr>
                <w:rFonts w:ascii="Arial" w:hAnsi="Arial" w:cs="Arial"/>
                <w:lang w:val="fr-CH"/>
              </w:rPr>
              <w:t>Evaluations</w:t>
            </w:r>
          </w:p>
        </w:tc>
        <w:tc>
          <w:tcPr>
            <w:tcW w:w="2722" w:type="dxa"/>
            <w:tcBorders>
              <w:top w:val="single" w:sz="4" w:space="0" w:color="000000"/>
              <w:left w:val="single" w:sz="4" w:space="0" w:color="000000"/>
              <w:bottom w:val="single" w:sz="4" w:space="0" w:color="000000"/>
              <w:right w:val="single" w:sz="4" w:space="0" w:color="000000"/>
            </w:tcBorders>
            <w:shd w:val="solid" w:color="005596" w:fill="auto"/>
            <w:tcMar>
              <w:top w:w="85" w:type="dxa"/>
              <w:left w:w="108" w:type="dxa"/>
              <w:bottom w:w="85" w:type="dxa"/>
              <w:right w:w="108" w:type="dxa"/>
            </w:tcMar>
          </w:tcPr>
          <w:p>
            <w:pPr>
              <w:pStyle w:val="tabelletitel"/>
              <w:spacing w:line="276" w:lineRule="auto"/>
              <w:rPr>
                <w:rFonts w:ascii="Arial" w:hAnsi="Arial" w:cs="Arial"/>
                <w:lang w:val="fr-CH"/>
              </w:rPr>
            </w:pPr>
            <w:r>
              <w:rPr>
                <w:rFonts w:ascii="Arial" w:hAnsi="Arial" w:cs="Arial"/>
                <w:lang w:val="fr-CH"/>
              </w:rPr>
              <w:t>Remarques</w:t>
            </w:r>
          </w:p>
        </w:tc>
      </w:tr>
      <w:tr>
        <w:trPr>
          <w:trHeight w:val="60"/>
        </w:trPr>
        <w:tc>
          <w:tcPr>
            <w:tcW w:w="9798" w:type="dxa"/>
            <w:gridSpan w:val="3"/>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gt"/>
              <w:spacing w:line="276" w:lineRule="auto"/>
              <w:rPr>
                <w:rFonts w:ascii="Arial" w:hAnsi="Arial" w:cs="Arial"/>
                <w:lang w:val="fr-CH"/>
              </w:rPr>
            </w:pPr>
            <w:r>
              <w:rPr>
                <w:rFonts w:ascii="Arial" w:hAnsi="Arial" w:cs="Arial"/>
                <w:lang w:val="fr-CH"/>
              </w:rPr>
              <w:t>Le calcul unitaire par unité finale d’imputation, le calcul périodique par unité finale d’imputation, le calcul unitaire des revenus et le calcul périodique des revenus ne doivent pas tous être établis. Toutefois, si l’on fait une évaluation elle devra être documentée et il faut indiquer notamment la périodicité.</w:t>
            </w: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11.6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Les critères de regroupement</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847022651"/>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Documentation des principes selon lesquels les critères de regroupement ont été appliqués</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tabelleUntertitel"/>
              <w:spacing w:line="276" w:lineRule="auto"/>
              <w:rPr>
                <w:rFonts w:ascii="Arial" w:hAnsi="Arial" w:cs="Arial"/>
                <w:lang w:val="fr-CH"/>
              </w:rPr>
            </w:pPr>
            <w:r>
              <w:rPr>
                <w:rStyle w:val="ExpertBold"/>
                <w:rFonts w:ascii="Arial" w:hAnsi="Arial" w:cs="Arial"/>
                <w:b/>
                <w:bCs/>
                <w:lang w:val="fr-CH"/>
              </w:rPr>
              <w:t>11.7</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Untertitel"/>
              <w:spacing w:line="276" w:lineRule="auto"/>
              <w:rPr>
                <w:rFonts w:ascii="Arial" w:hAnsi="Arial" w:cs="Arial"/>
                <w:lang w:val="fr-CH"/>
              </w:rPr>
            </w:pPr>
            <w:r>
              <w:rPr>
                <w:rStyle w:val="bold"/>
                <w:rFonts w:ascii="Arial" w:hAnsi="Arial" w:cs="Arial"/>
                <w:b/>
                <w:bCs/>
                <w:lang w:val="fr-CH"/>
              </w:rPr>
              <w:t>Prestations en attente pour l’urgence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341539063"/>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Documentation de la définition et du financement au sein de l’institution des prestations en attente pour l’urgence et le maintien de capacités hospitalières pour des questions de politique régionale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sdt>
            <w:sdtPr>
              <w:rPr>
                <w:rFonts w:ascii="Arial" w:hAnsi="Arial" w:cs="Arial"/>
                <w:lang w:val="fr-CH"/>
              </w:rPr>
              <w:id w:val="1771508915"/>
              <w14:checkbox>
                <w14:checked w14:val="0"/>
                <w14:checkedState w14:val="2612" w14:font="MS Gothic"/>
                <w14:uncheckedState w14:val="2610" w14:font="MS Gothic"/>
              </w14:checkbox>
            </w:sdtPr>
            <w:sdtEndPr/>
            <w:sdtContent>
              <w:p>
                <w:pPr>
                  <w:pStyle w:val="tabellegt"/>
                  <w:spacing w:line="276" w:lineRule="auto"/>
                  <w:rPr>
                    <w:rFonts w:ascii="Arial" w:hAnsi="Arial" w:cs="Arial"/>
                    <w:lang w:val="fr-CH"/>
                  </w:rPr>
                </w:pPr>
                <w:r>
                  <w:rPr>
                    <w:rFonts w:ascii="MS Gothic" w:eastAsia="MS Gothic" w:hAnsi="MS Gothic" w:cs="Arial" w:hint="eastAsia"/>
                    <w:lang w:val="fr-CH"/>
                  </w:rPr>
                  <w:t>☐</w:t>
                </w:r>
              </w:p>
            </w:sdtContent>
          </w:sdt>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pStyle w:val="tabellegt"/>
              <w:spacing w:line="276" w:lineRule="auto"/>
              <w:rPr>
                <w:rFonts w:ascii="Arial" w:hAnsi="Arial" w:cs="Arial"/>
                <w:lang w:val="fr-CH"/>
              </w:rPr>
            </w:pPr>
            <w:r>
              <w:rPr>
                <w:rFonts w:ascii="Arial" w:hAnsi="Arial" w:cs="Arial"/>
                <w:lang w:val="fr-CH"/>
              </w:rPr>
              <w:t xml:space="preserve">La garantie est-elle apportée que les prestations en attente pour l’urgence ne sont pas comptabilisées en tant que diminution des </w:t>
            </w:r>
            <w:proofErr w:type="gramStart"/>
            <w:r>
              <w:rPr>
                <w:rFonts w:ascii="Arial" w:hAnsi="Arial" w:cs="Arial"/>
                <w:lang w:val="fr-CH"/>
              </w:rPr>
              <w:t>coûts?</w:t>
            </w:r>
            <w:proofErr w:type="gramEnd"/>
            <w:r>
              <w:rPr>
                <w:rFonts w:ascii="Arial" w:hAnsi="Arial" w:cs="Arial"/>
                <w:lang w:val="fr-CH"/>
              </w:rPr>
              <w:t xml:space="preserve"> (</w:t>
            </w:r>
            <w:proofErr w:type="gramStart"/>
            <w:r>
              <w:rPr>
                <w:rFonts w:ascii="Arial" w:hAnsi="Arial" w:cs="Arial"/>
                <w:lang w:val="fr-CH"/>
              </w:rPr>
              <w:t>respect</w:t>
            </w:r>
            <w:proofErr w:type="gramEnd"/>
            <w:r>
              <w:rPr>
                <w:rFonts w:ascii="Arial" w:hAnsi="Arial" w:cs="Arial"/>
                <w:lang w:val="fr-CH"/>
              </w:rPr>
              <w:t xml:space="preserve"> du principe de la valeur brute)</w:t>
            </w:r>
          </w:p>
        </w:tc>
        <w:tc>
          <w:tcPr>
            <w:tcW w:w="272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pStyle w:val="KeinAbsatzformat"/>
              <w:spacing w:line="276" w:lineRule="auto"/>
              <w:textAlignment w:val="auto"/>
              <w:rPr>
                <w:rFonts w:ascii="Arial" w:hAnsi="Arial" w:cs="Arial"/>
                <w:color w:val="auto"/>
                <w:sz w:val="18"/>
                <w:szCs w:val="18"/>
                <w:lang w:val="fr-CH"/>
              </w:rPr>
            </w:pPr>
          </w:p>
        </w:tc>
      </w:tr>
    </w:tbl>
    <w:p>
      <w:pPr>
        <w:spacing w:line="276" w:lineRule="auto"/>
        <w:rPr>
          <w:lang w:val="fr-CH"/>
        </w:rPr>
      </w:pPr>
    </w:p>
    <w:p>
      <w:pPr>
        <w:spacing w:line="276" w:lineRule="auto"/>
        <w:rPr>
          <w:rFonts w:cs="Arial"/>
          <w:lang w:val="fr-CH"/>
        </w:rPr>
      </w:pPr>
    </w:p>
    <w:sectPr>
      <w:footerReference w:type="default" r:id="rId8"/>
      <w:headerReference w:type="first" r:id="rId9"/>
      <w:footerReference w:type="first" r:id="rId10"/>
      <w:pgSz w:w="11906" w:h="16838" w:code="9"/>
      <w:pgMar w:top="851" w:right="1021" w:bottom="1418" w:left="153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ulo Bold">
    <w:panose1 w:val="02000000000000000000"/>
    <w:charset w:val="00"/>
    <w:family w:val="modern"/>
    <w:notTrueType/>
    <w:pitch w:val="variable"/>
    <w:sig w:usb0="A00000FF" w:usb1="5001207B" w:usb2="00000010" w:usb3="00000000" w:csb0="0000009B" w:csb1="00000000"/>
  </w:font>
  <w:font w:name="Bulo Regular">
    <w:panose1 w:val="02000000000000000000"/>
    <w:charset w:val="00"/>
    <w:family w:val="modern"/>
    <w:notTrueType/>
    <w:pitch w:val="variable"/>
    <w:sig w:usb0="A00000FF" w:usb1="5001207B" w:usb2="00000010" w:usb3="00000000" w:csb0="0000009B" w:csb1="00000000"/>
  </w:font>
  <w:font w:name="Bulo Light">
    <w:panose1 w:val="02000000000000000000"/>
    <w:charset w:val="00"/>
    <w:family w:val="modern"/>
    <w:notTrueType/>
    <w:pitch w:val="variable"/>
    <w:sig w:usb0="A00000FF" w:usb1="5001207B" w:usb2="0000001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heMix-HP3Lig">
    <w:altName w:val="MS Gothic"/>
    <w:panose1 w:val="00000000000000000000"/>
    <w:charset w:val="80"/>
    <w:family w:val="swiss"/>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rPr>
        <w:szCs w:val="16"/>
      </w:rPr>
    </w:pPr>
  </w:p>
  <w:p>
    <w:pPr>
      <w:pStyle w:val="Fuzeile"/>
      <w:rPr>
        <w:szCs w:val="16"/>
      </w:rPr>
    </w:pPr>
  </w:p>
  <w:p>
    <w:pPr>
      <w:pStyle w:val="Fuzeile"/>
      <w:rPr>
        <w:szCs w:val="16"/>
      </w:rPr>
    </w:pPr>
  </w:p>
  <w:p>
    <w:pPr>
      <w:pStyle w:val="Fuzeile"/>
      <w:rPr>
        <w:szCs w:val="16"/>
      </w:rPr>
    </w:pPr>
  </w:p>
  <w:p>
    <w:pPr>
      <w:pStyle w:val="Fuzeile"/>
      <w:rPr>
        <w:szCs w:val="16"/>
      </w:rPr>
    </w:pPr>
  </w:p>
  <w:p>
    <w:pPr>
      <w:tabs>
        <w:tab w:val="right" w:pos="9356"/>
      </w:tabs>
      <w:rPr>
        <w:noProof/>
        <w:sz w:val="16"/>
        <w:szCs w:val="16"/>
        <w:lang w:val="it-IT"/>
      </w:rPr>
    </w:pPr>
    <w:r>
      <w:rPr>
        <w:noProof/>
        <w:sz w:val="16"/>
        <w:szCs w:val="16"/>
        <w:lang w:val="it-IT"/>
      </w:rPr>
      <w:t xml:space="preserve">H+   Die Spitäler der Schweiz  I  Les Hôpitaux de Suisse  I  </w:t>
    </w:r>
    <w:r>
      <w:rPr>
        <w:noProof/>
        <w:sz w:val="16"/>
        <w:szCs w:val="16"/>
        <w:lang w:val="it-IT"/>
      </w:rPr>
      <w:t>Gli Ospedali Svizzeri</w:t>
    </w:r>
    <w:r>
      <w:rPr>
        <w:noProof/>
        <w:sz w:val="16"/>
        <w:szCs w:val="16"/>
        <w:lang w:val="it-IT"/>
      </w:rPr>
      <w:tab/>
    </w:r>
    <w:r>
      <w:rPr>
        <w:noProof/>
        <w:sz w:val="16"/>
        <w:szCs w:val="16"/>
        <w:lang w:val="it-IT"/>
      </w:rPr>
      <w:t>Pag</w:t>
    </w:r>
    <w:r>
      <w:rPr>
        <w:noProof/>
        <w:sz w:val="16"/>
        <w:szCs w:val="16"/>
        <w:lang w:val="it-IT"/>
      </w:rPr>
      <w:t xml:space="preserve">e </w:t>
    </w:r>
    <w:r>
      <w:rPr>
        <w:noProof/>
        <w:sz w:val="16"/>
      </w:rPr>
      <w:fldChar w:fldCharType="begin"/>
    </w:r>
    <w:r>
      <w:rPr>
        <w:noProof/>
        <w:sz w:val="16"/>
        <w:lang w:val="it-IT"/>
      </w:rPr>
      <w:instrText xml:space="preserve"> PAGE </w:instrText>
    </w:r>
    <w:r>
      <w:rPr>
        <w:noProof/>
        <w:sz w:val="16"/>
      </w:rPr>
      <w:fldChar w:fldCharType="separate"/>
    </w:r>
    <w:r>
      <w:rPr>
        <w:noProof/>
        <w:sz w:val="16"/>
        <w:lang w:val="it-IT"/>
      </w:rPr>
      <w:t>17</w:t>
    </w:r>
    <w:r>
      <w:rPr>
        <w:noProof/>
        <w:sz w:val="16"/>
      </w:rPr>
      <w:fldChar w:fldCharType="end"/>
    </w:r>
    <w:r>
      <w:rPr>
        <w:noProof/>
        <w:sz w:val="16"/>
        <w:lang w:val="it-IT"/>
      </w:rPr>
      <w:t>/</w:t>
    </w:r>
    <w:r>
      <w:rPr>
        <w:noProof/>
        <w:sz w:val="16"/>
      </w:rPr>
      <w:fldChar w:fldCharType="begin"/>
    </w:r>
    <w:r>
      <w:rPr>
        <w:noProof/>
        <w:sz w:val="16"/>
        <w:lang w:val="it-IT"/>
      </w:rPr>
      <w:instrText xml:space="preserve"> NUMPAGES </w:instrText>
    </w:r>
    <w:r>
      <w:rPr>
        <w:noProof/>
        <w:sz w:val="16"/>
      </w:rPr>
      <w:fldChar w:fldCharType="separate"/>
    </w:r>
    <w:r>
      <w:rPr>
        <w:noProof/>
        <w:sz w:val="16"/>
        <w:lang w:val="it-IT"/>
      </w:rPr>
      <w:t>17</w:t>
    </w:r>
    <w:r>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r>
      <w:drawing>
        <wp:anchor distT="0" distB="0" distL="114300" distR="114300" simplePos="0" relativeHeight="251665408" behindDoc="1" locked="0" layoutInCell="1" allowOverlap="1" wp14:anchorId="3098ED8B" wp14:editId="75DDCD7A">
          <wp:simplePos x="0" y="0"/>
          <wp:positionH relativeFrom="column">
            <wp:posOffset>-434975</wp:posOffset>
          </wp:positionH>
          <wp:positionV relativeFrom="paragraph">
            <wp:posOffset>110490</wp:posOffset>
          </wp:positionV>
          <wp:extent cx="3023870" cy="539750"/>
          <wp:effectExtent l="0" t="0" r="5080" b="0"/>
          <wp:wrapThrough wrapText="bothSides">
            <wp:wrapPolygon edited="0">
              <wp:start x="0" y="0"/>
              <wp:lineTo x="0" y="20584"/>
              <wp:lineTo x="21500" y="20584"/>
              <wp:lineTo x="2150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Claim_50K_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870" cy="539750"/>
                  </a:xfrm>
                  <a:prstGeom prst="rect">
                    <a:avLst/>
                  </a:prstGeom>
                </pic:spPr>
              </pic:pic>
            </a:graphicData>
          </a:graphic>
          <wp14:sizeRelH relativeFrom="margin">
            <wp14:pctWidth>0</wp14:pctWidth>
          </wp14:sizeRelH>
          <wp14:sizeRelV relativeFrom="margin">
            <wp14:pctHeight>0</wp14:pctHeight>
          </wp14:sizeRelV>
        </wp:anchor>
      </w:drawing>
    </w:r>
  </w:p>
  <w:p>
    <w:pPr>
      <w:pStyle w:val="Fuzeile"/>
    </w:pPr>
    <w:r>
      <w:drawing>
        <wp:anchor distT="0" distB="0" distL="114300" distR="114300" simplePos="0" relativeHeight="251669504" behindDoc="1" locked="0" layoutInCell="1" allowOverlap="1" wp14:anchorId="5920B54F" wp14:editId="56D8786E">
          <wp:simplePos x="0" y="0"/>
          <wp:positionH relativeFrom="column">
            <wp:posOffset>3660140</wp:posOffset>
          </wp:positionH>
          <wp:positionV relativeFrom="paragraph">
            <wp:posOffset>43815</wp:posOffset>
          </wp:positionV>
          <wp:extent cx="2224405" cy="419735"/>
          <wp:effectExtent l="0" t="0" r="4445" b="0"/>
          <wp:wrapThrough wrapText="bothSides">
            <wp:wrapPolygon edited="0">
              <wp:start x="0" y="0"/>
              <wp:lineTo x="0" y="20587"/>
              <wp:lineTo x="21458" y="20587"/>
              <wp:lineTo x="21458"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Adresszeile_100K_2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4405" cy="419735"/>
                  </a:xfrm>
                  <a:prstGeom prst="rect">
                    <a:avLst/>
                  </a:prstGeom>
                </pic:spPr>
              </pic:pic>
            </a:graphicData>
          </a:graphic>
          <wp14:sizeRelH relativeFrom="margin">
            <wp14:pctWidth>0</wp14:pctWidth>
          </wp14:sizeRelH>
          <wp14:sizeRelV relativeFrom="margin">
            <wp14:pctHeight>0</wp14:pctHeight>
          </wp14:sizeRelV>
        </wp:anchor>
      </w:drawing>
    </w:r>
  </w:p>
  <w:p>
    <w:pPr>
      <w:pStyle w:val="Fuzeile"/>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autoSpaceDE w:val="0"/>
        <w:autoSpaceDN w:val="0"/>
        <w:adjustRightInd w:val="0"/>
        <w:spacing w:line="276" w:lineRule="auto"/>
        <w:rPr>
          <w:sz w:val="16"/>
          <w:szCs w:val="16"/>
          <w:lang w:val="fr-CH"/>
        </w:rPr>
      </w:pPr>
      <w:r>
        <w:rPr>
          <w:rStyle w:val="Funotenzeichen"/>
          <w:sz w:val="16"/>
          <w:szCs w:val="16"/>
        </w:rPr>
        <w:footnoteRef/>
      </w:r>
      <w:r>
        <w:rPr>
          <w:sz w:val="16"/>
          <w:szCs w:val="16"/>
          <w:lang w:val="fr-CH"/>
        </w:rPr>
        <w:t xml:space="preserve"> Les professions médicales universitaires suivantes sont définies à l’art. 2 al. </w:t>
      </w:r>
      <w:proofErr w:type="spellStart"/>
      <w:proofErr w:type="gramStart"/>
      <w:r>
        <w:rPr>
          <w:sz w:val="16"/>
          <w:szCs w:val="16"/>
          <w:lang w:val="fr-CH"/>
        </w:rPr>
        <w:t>LPMéd</w:t>
      </w:r>
      <w:proofErr w:type="spellEnd"/>
      <w:r>
        <w:rPr>
          <w:sz w:val="16"/>
          <w:szCs w:val="16"/>
          <w:lang w:val="fr-CH"/>
        </w:rPr>
        <w:t>:</w:t>
      </w:r>
      <w:proofErr w:type="gramEnd"/>
    </w:p>
    <w:p>
      <w:pPr>
        <w:pStyle w:val="Listenabsatz"/>
        <w:numPr>
          <w:ilvl w:val="0"/>
          <w:numId w:val="38"/>
        </w:numPr>
        <w:tabs>
          <w:tab w:val="left" w:pos="284"/>
        </w:tabs>
        <w:autoSpaceDE w:val="0"/>
        <w:autoSpaceDN w:val="0"/>
        <w:adjustRightInd w:val="0"/>
        <w:spacing w:line="276" w:lineRule="auto"/>
        <w:ind w:left="284" w:hanging="218"/>
        <w:rPr>
          <w:sz w:val="16"/>
          <w:szCs w:val="16"/>
          <w:lang w:val="fr-CH"/>
        </w:rPr>
      </w:pPr>
      <w:proofErr w:type="gramStart"/>
      <w:r>
        <w:rPr>
          <w:sz w:val="16"/>
          <w:szCs w:val="16"/>
          <w:lang w:val="fr-CH"/>
        </w:rPr>
        <w:t>les</w:t>
      </w:r>
      <w:proofErr w:type="gramEnd"/>
      <w:r>
        <w:rPr>
          <w:sz w:val="16"/>
          <w:szCs w:val="16"/>
          <w:lang w:val="fr-CH"/>
        </w:rPr>
        <w:t xml:space="preserve"> médecins,</w:t>
      </w:r>
    </w:p>
    <w:p>
      <w:pPr>
        <w:pStyle w:val="Listenabsatz"/>
        <w:numPr>
          <w:ilvl w:val="0"/>
          <w:numId w:val="38"/>
        </w:numPr>
        <w:tabs>
          <w:tab w:val="left" w:pos="284"/>
        </w:tabs>
        <w:autoSpaceDE w:val="0"/>
        <w:autoSpaceDN w:val="0"/>
        <w:adjustRightInd w:val="0"/>
        <w:spacing w:line="276" w:lineRule="auto"/>
        <w:ind w:left="284" w:hanging="218"/>
        <w:rPr>
          <w:sz w:val="16"/>
          <w:szCs w:val="16"/>
          <w:lang w:val="fr-CH"/>
        </w:rPr>
      </w:pPr>
      <w:proofErr w:type="gramStart"/>
      <w:r>
        <w:rPr>
          <w:sz w:val="16"/>
          <w:szCs w:val="16"/>
          <w:lang w:val="fr-CH"/>
        </w:rPr>
        <w:t>les</w:t>
      </w:r>
      <w:proofErr w:type="gramEnd"/>
      <w:r>
        <w:rPr>
          <w:sz w:val="16"/>
          <w:szCs w:val="16"/>
          <w:lang w:val="fr-CH"/>
        </w:rPr>
        <w:t xml:space="preserve"> dentistes,</w:t>
      </w:r>
    </w:p>
    <w:p>
      <w:pPr>
        <w:pStyle w:val="Listenabsatz"/>
        <w:numPr>
          <w:ilvl w:val="0"/>
          <w:numId w:val="38"/>
        </w:numPr>
        <w:tabs>
          <w:tab w:val="left" w:pos="284"/>
        </w:tabs>
        <w:autoSpaceDE w:val="0"/>
        <w:autoSpaceDN w:val="0"/>
        <w:adjustRightInd w:val="0"/>
        <w:spacing w:line="276" w:lineRule="auto"/>
        <w:ind w:left="284" w:hanging="218"/>
        <w:rPr>
          <w:sz w:val="16"/>
          <w:szCs w:val="16"/>
          <w:lang w:val="fr-CH"/>
        </w:rPr>
      </w:pPr>
      <w:proofErr w:type="gramStart"/>
      <w:r>
        <w:rPr>
          <w:sz w:val="16"/>
          <w:szCs w:val="16"/>
          <w:lang w:val="fr-CH"/>
        </w:rPr>
        <w:t>les</w:t>
      </w:r>
      <w:proofErr w:type="gramEnd"/>
      <w:r>
        <w:rPr>
          <w:sz w:val="16"/>
          <w:szCs w:val="16"/>
          <w:lang w:val="fr-CH"/>
        </w:rPr>
        <w:t xml:space="preserve"> chiropracticiens,</w:t>
      </w:r>
    </w:p>
    <w:p>
      <w:pPr>
        <w:pStyle w:val="Listenabsatz"/>
        <w:numPr>
          <w:ilvl w:val="0"/>
          <w:numId w:val="38"/>
        </w:numPr>
        <w:tabs>
          <w:tab w:val="left" w:pos="284"/>
        </w:tabs>
        <w:autoSpaceDE w:val="0"/>
        <w:autoSpaceDN w:val="0"/>
        <w:adjustRightInd w:val="0"/>
        <w:spacing w:line="276" w:lineRule="auto"/>
        <w:ind w:left="284" w:hanging="218"/>
        <w:rPr>
          <w:sz w:val="16"/>
          <w:szCs w:val="16"/>
          <w:lang w:val="fr-CH"/>
        </w:rPr>
      </w:pPr>
      <w:proofErr w:type="gramStart"/>
      <w:r>
        <w:rPr>
          <w:sz w:val="16"/>
          <w:szCs w:val="16"/>
          <w:lang w:val="fr-CH"/>
        </w:rPr>
        <w:t>les</w:t>
      </w:r>
      <w:proofErr w:type="gramEnd"/>
      <w:r>
        <w:rPr>
          <w:sz w:val="16"/>
          <w:szCs w:val="16"/>
          <w:lang w:val="fr-CH"/>
        </w:rPr>
        <w:t xml:space="preserve"> pharmaciens,</w:t>
      </w:r>
    </w:p>
    <w:p>
      <w:pPr>
        <w:pStyle w:val="Listenabsatz"/>
        <w:numPr>
          <w:ilvl w:val="0"/>
          <w:numId w:val="38"/>
        </w:numPr>
        <w:tabs>
          <w:tab w:val="left" w:pos="284"/>
        </w:tabs>
        <w:autoSpaceDE w:val="0"/>
        <w:autoSpaceDN w:val="0"/>
        <w:adjustRightInd w:val="0"/>
        <w:spacing w:line="276" w:lineRule="auto"/>
        <w:ind w:left="284" w:hanging="218"/>
        <w:rPr>
          <w:sz w:val="16"/>
          <w:szCs w:val="16"/>
          <w:lang w:val="fr-CH"/>
        </w:rPr>
      </w:pPr>
      <w:proofErr w:type="gramStart"/>
      <w:r>
        <w:rPr>
          <w:sz w:val="16"/>
          <w:szCs w:val="16"/>
          <w:lang w:val="fr-CH"/>
        </w:rPr>
        <w:t>les</w:t>
      </w:r>
      <w:proofErr w:type="gramEnd"/>
      <w:r>
        <w:rPr>
          <w:sz w:val="16"/>
          <w:szCs w:val="16"/>
          <w:lang w:val="fr-CH"/>
        </w:rPr>
        <w:t xml:space="preserve"> vétérinaires.</w:t>
      </w:r>
    </w:p>
    <w:p>
      <w:pPr>
        <w:pStyle w:val="Funotentext"/>
        <w:tabs>
          <w:tab w:val="left" w:pos="284"/>
        </w:tabs>
        <w:ind w:left="284" w:hanging="218"/>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940"/>
      </w:tabs>
    </w:pPr>
    <w:bookmarkStart w:id="1" w:name="BkmLayout"/>
    <w:r>
      <w:drawing>
        <wp:anchor distT="0" distB="0" distL="114300" distR="114300" simplePos="0" relativeHeight="251659264" behindDoc="1" locked="0" layoutInCell="1" allowOverlap="1" wp14:anchorId="42774B49" wp14:editId="75900190">
          <wp:simplePos x="0" y="0"/>
          <wp:positionH relativeFrom="column">
            <wp:posOffset>-342900</wp:posOffset>
          </wp:positionH>
          <wp:positionV relativeFrom="paragraph">
            <wp:posOffset>-183515</wp:posOffset>
          </wp:positionV>
          <wp:extent cx="1732915" cy="1086485"/>
          <wp:effectExtent l="0" t="0" r="635" b="0"/>
          <wp:wrapNone/>
          <wp:docPr id="26" name="Bild 26" descr="Z:\Allgemein\Kommunikation\Corporate Design H+\Logo\H+_Logo_Zusat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Allgemein\Kommunikation\Corporate Design H+\Logo\H+_Logo_Zusatz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Kopfzeile"/>
      <w:tabs>
        <w:tab w:val="left" w:pos="5940"/>
      </w:tabs>
    </w:pPr>
  </w:p>
  <w:p>
    <w:pPr>
      <w:pStyle w:val="Kopfzeile"/>
      <w:tabs>
        <w:tab w:val="left" w:pos="5940"/>
      </w:tabs>
    </w:pPr>
  </w:p>
  <w:p>
    <w:pPr>
      <w:pStyle w:val="Kopfzeile"/>
      <w:tabs>
        <w:tab w:val="left" w:pos="5940"/>
      </w:tabs>
    </w:pPr>
  </w:p>
  <w:p>
    <w:pPr>
      <w:pStyle w:val="Kopfzeile"/>
      <w:tabs>
        <w:tab w:val="left" w:pos="5940"/>
      </w:tabs>
    </w:pPr>
  </w:p>
  <w:p>
    <w:pPr>
      <w:pStyle w:val="Kopfzeile"/>
      <w:tabs>
        <w:tab w:val="left" w:pos="5940"/>
      </w:tabs>
    </w:pPr>
  </w:p>
  <w:p>
    <w:pPr>
      <w:pStyle w:val="Kopfzeile"/>
      <w:tabs>
        <w:tab w:val="left" w:pos="5940"/>
      </w:tabs>
    </w:pPr>
  </w:p>
  <w:p>
    <w:pPr>
      <w:pStyle w:val="Kopfzeile"/>
      <w:tabs>
        <w:tab w:val="left" w:pos="5940"/>
      </w:tabs>
    </w:pPr>
  </w:p>
  <w:p>
    <w:pPr>
      <w:pStyle w:val="Kopfzeile"/>
      <w:tabs>
        <w:tab w:val="left" w:pos="5940"/>
      </w:tabs>
    </w:pPr>
  </w:p>
  <w:bookmarkEnd w:id="1"/>
  <w:p>
    <w:pPr>
      <w:pStyle w:val="Kopfzeile"/>
      <w:tabs>
        <w:tab w:val="left" w:pos="59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19CBC0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64F4B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EE4356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8B4F8C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62460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5E12EB"/>
    <w:multiLevelType w:val="hybridMultilevel"/>
    <w:tmpl w:val="F4B0C160"/>
    <w:lvl w:ilvl="0" w:tplc="E1841662">
      <w:start w:val="1"/>
      <w:numFmt w:val="bullet"/>
      <w:lvlText w:val=""/>
      <w:lvlJc w:val="left"/>
      <w:pPr>
        <w:ind w:left="720" w:hanging="360"/>
      </w:pPr>
      <w:rPr>
        <w:rFonts w:ascii="Wingdings" w:hAnsi="Wingdings" w:hint="default"/>
        <w:color w:val="1F497D"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4AC79BA"/>
    <w:multiLevelType w:val="multilevel"/>
    <w:tmpl w:val="BFA21EDA"/>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DB15EF3"/>
    <w:multiLevelType w:val="hybridMultilevel"/>
    <w:tmpl w:val="DA104D4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E271257"/>
    <w:multiLevelType w:val="hybridMultilevel"/>
    <w:tmpl w:val="9BC0BEA0"/>
    <w:lvl w:ilvl="0" w:tplc="66D6986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8B21B26"/>
    <w:multiLevelType w:val="hybridMultilevel"/>
    <w:tmpl w:val="4A0AD3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AE9087D"/>
    <w:multiLevelType w:val="hybridMultilevel"/>
    <w:tmpl w:val="85D84DC4"/>
    <w:lvl w:ilvl="0" w:tplc="E1841662">
      <w:start w:val="1"/>
      <w:numFmt w:val="bullet"/>
      <w:lvlText w:val=""/>
      <w:lvlJc w:val="left"/>
      <w:pPr>
        <w:ind w:left="720" w:hanging="360"/>
      </w:pPr>
      <w:rPr>
        <w:rFonts w:ascii="Wingdings" w:hAnsi="Wingdings" w:hint="default"/>
        <w:color w:val="1F497D"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B024872"/>
    <w:multiLevelType w:val="hybridMultilevel"/>
    <w:tmpl w:val="E6B6684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C494FF1"/>
    <w:multiLevelType w:val="hybridMultilevel"/>
    <w:tmpl w:val="4566AEC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D6864B1"/>
    <w:multiLevelType w:val="hybridMultilevel"/>
    <w:tmpl w:val="E3BE926E"/>
    <w:lvl w:ilvl="0" w:tplc="E1841662">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FC50EC0"/>
    <w:multiLevelType w:val="hybridMultilevel"/>
    <w:tmpl w:val="13E0F65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1295659"/>
    <w:multiLevelType w:val="hybridMultilevel"/>
    <w:tmpl w:val="A378A5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973634D"/>
    <w:multiLevelType w:val="hybridMultilevel"/>
    <w:tmpl w:val="BE9ABBB2"/>
    <w:lvl w:ilvl="0" w:tplc="E1841662">
      <w:start w:val="1"/>
      <w:numFmt w:val="bullet"/>
      <w:lvlText w:val=""/>
      <w:lvlJc w:val="left"/>
      <w:pPr>
        <w:ind w:left="720" w:hanging="360"/>
      </w:pPr>
      <w:rPr>
        <w:rFonts w:ascii="Wingdings" w:hAnsi="Wingdings" w:hint="default"/>
        <w:color w:val="1F497D"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C5D260B"/>
    <w:multiLevelType w:val="hybridMultilevel"/>
    <w:tmpl w:val="699E6D2C"/>
    <w:lvl w:ilvl="0" w:tplc="E1841662">
      <w:start w:val="1"/>
      <w:numFmt w:val="bullet"/>
      <w:lvlText w:val=""/>
      <w:lvlJc w:val="left"/>
      <w:pPr>
        <w:ind w:left="720" w:hanging="360"/>
      </w:pPr>
      <w:rPr>
        <w:rFonts w:ascii="Wingdings" w:hAnsi="Wingdings" w:hint="default"/>
        <w:color w:val="1F497D"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6155D1"/>
    <w:multiLevelType w:val="hybridMultilevel"/>
    <w:tmpl w:val="09820B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870543B"/>
    <w:multiLevelType w:val="hybridMultilevel"/>
    <w:tmpl w:val="38BE4D8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871757F"/>
    <w:multiLevelType w:val="hybridMultilevel"/>
    <w:tmpl w:val="C97639E0"/>
    <w:lvl w:ilvl="0" w:tplc="B1FED10A">
      <w:start w:val="1"/>
      <w:numFmt w:val="bullet"/>
      <w:lvlText w:val=""/>
      <w:lvlJc w:val="left"/>
      <w:pPr>
        <w:ind w:left="1080" w:hanging="360"/>
      </w:pPr>
      <w:rPr>
        <w:rFonts w:ascii="Wingdings" w:hAnsi="Wingdings" w:hint="default"/>
        <w:color w:val="1F497D" w:themeColor="text2"/>
        <w:sz w:val="18"/>
        <w:szCs w:val="18"/>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1" w15:restartNumberingAfterBreak="0">
    <w:nsid w:val="393266E5"/>
    <w:multiLevelType w:val="hybridMultilevel"/>
    <w:tmpl w:val="322E9C0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B65629F"/>
    <w:multiLevelType w:val="hybridMultilevel"/>
    <w:tmpl w:val="7A50D9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C5678F0"/>
    <w:multiLevelType w:val="hybridMultilevel"/>
    <w:tmpl w:val="A8C03C02"/>
    <w:lvl w:ilvl="0" w:tplc="E1841662">
      <w:start w:val="1"/>
      <w:numFmt w:val="bullet"/>
      <w:lvlText w:val=""/>
      <w:lvlJc w:val="left"/>
      <w:pPr>
        <w:ind w:left="720" w:hanging="360"/>
      </w:pPr>
      <w:rPr>
        <w:rFonts w:ascii="Wingdings" w:hAnsi="Wingdings" w:hint="default"/>
        <w:color w:val="1F497D"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F1F491B"/>
    <w:multiLevelType w:val="hybridMultilevel"/>
    <w:tmpl w:val="CE66CD1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28233F5"/>
    <w:multiLevelType w:val="hybridMultilevel"/>
    <w:tmpl w:val="EFDC55F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98358C5"/>
    <w:multiLevelType w:val="hybridMultilevel"/>
    <w:tmpl w:val="84F89FD4"/>
    <w:lvl w:ilvl="0" w:tplc="E1841662">
      <w:start w:val="1"/>
      <w:numFmt w:val="bullet"/>
      <w:lvlText w:val=""/>
      <w:lvlJc w:val="left"/>
      <w:pPr>
        <w:ind w:left="720" w:hanging="360"/>
      </w:pPr>
      <w:rPr>
        <w:rFonts w:ascii="Wingdings" w:hAnsi="Wingdings" w:hint="default"/>
        <w:color w:val="1F497D"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B8F6226"/>
    <w:multiLevelType w:val="hybridMultilevel"/>
    <w:tmpl w:val="4F8C3A9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B960328"/>
    <w:multiLevelType w:val="hybridMultilevel"/>
    <w:tmpl w:val="8AD47CE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D6676D1"/>
    <w:multiLevelType w:val="hybridMultilevel"/>
    <w:tmpl w:val="E89C520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2097CE2"/>
    <w:multiLevelType w:val="hybridMultilevel"/>
    <w:tmpl w:val="8C60E9A4"/>
    <w:lvl w:ilvl="0" w:tplc="E1841662">
      <w:start w:val="1"/>
      <w:numFmt w:val="bullet"/>
      <w:lvlText w:val=""/>
      <w:lvlJc w:val="left"/>
      <w:pPr>
        <w:ind w:left="720" w:hanging="360"/>
      </w:pPr>
      <w:rPr>
        <w:rFonts w:ascii="Wingdings" w:hAnsi="Wingdings" w:hint="default"/>
        <w:color w:val="1F497D"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9A258BA"/>
    <w:multiLevelType w:val="hybridMultilevel"/>
    <w:tmpl w:val="5A609E2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A937245"/>
    <w:multiLevelType w:val="hybridMultilevel"/>
    <w:tmpl w:val="38545B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B470BF3"/>
    <w:multiLevelType w:val="hybridMultilevel"/>
    <w:tmpl w:val="26947BE8"/>
    <w:lvl w:ilvl="0" w:tplc="E1841662">
      <w:start w:val="1"/>
      <w:numFmt w:val="bullet"/>
      <w:lvlText w:val=""/>
      <w:lvlJc w:val="left"/>
      <w:pPr>
        <w:ind w:left="720" w:hanging="360"/>
      </w:pPr>
      <w:rPr>
        <w:rFonts w:ascii="Wingdings" w:hAnsi="Wingdings" w:hint="default"/>
        <w:color w:val="1F497D"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CE175B1"/>
    <w:multiLevelType w:val="hybridMultilevel"/>
    <w:tmpl w:val="BEA2C68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DF55CD2"/>
    <w:multiLevelType w:val="hybridMultilevel"/>
    <w:tmpl w:val="4EC8CDEC"/>
    <w:lvl w:ilvl="0" w:tplc="E1841662">
      <w:start w:val="1"/>
      <w:numFmt w:val="bullet"/>
      <w:lvlText w:val=""/>
      <w:lvlJc w:val="left"/>
      <w:pPr>
        <w:ind w:left="720" w:hanging="360"/>
      </w:pPr>
      <w:rPr>
        <w:rFonts w:ascii="Wingdings" w:hAnsi="Wingdings" w:hint="default"/>
        <w:color w:val="1F497D"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6517474"/>
    <w:multiLevelType w:val="hybridMultilevel"/>
    <w:tmpl w:val="12884FCE"/>
    <w:lvl w:ilvl="0" w:tplc="EA6CC472">
      <w:start w:val="1"/>
      <w:numFmt w:val="bullet"/>
      <w:lvlText w:val=""/>
      <w:lvlJc w:val="left"/>
      <w:pPr>
        <w:ind w:left="720" w:hanging="360"/>
      </w:pPr>
      <w:rPr>
        <w:rFonts w:ascii="Wingdings" w:hAnsi="Wingdings" w:hint="default"/>
        <w:color w:val="00559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9693E58"/>
    <w:multiLevelType w:val="hybridMultilevel"/>
    <w:tmpl w:val="CF662BF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CF960EE"/>
    <w:multiLevelType w:val="hybridMultilevel"/>
    <w:tmpl w:val="9A702FC2"/>
    <w:lvl w:ilvl="0" w:tplc="E1841662">
      <w:start w:val="1"/>
      <w:numFmt w:val="bullet"/>
      <w:lvlText w:val=""/>
      <w:lvlJc w:val="left"/>
      <w:pPr>
        <w:ind w:left="720" w:hanging="360"/>
      </w:pPr>
      <w:rPr>
        <w:rFonts w:ascii="Wingdings" w:hAnsi="Wingdings" w:hint="default"/>
        <w:color w:val="1F497D"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79D0162"/>
    <w:multiLevelType w:val="hybridMultilevel"/>
    <w:tmpl w:val="50B23688"/>
    <w:lvl w:ilvl="0" w:tplc="E1841662">
      <w:start w:val="1"/>
      <w:numFmt w:val="bullet"/>
      <w:lvlText w:val=""/>
      <w:lvlJc w:val="left"/>
      <w:pPr>
        <w:ind w:left="720" w:hanging="360"/>
      </w:pPr>
      <w:rPr>
        <w:rFonts w:ascii="Wingdings" w:hAnsi="Wingdings" w:hint="default"/>
        <w:color w:val="1F497D"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8"/>
  </w:num>
  <w:num w:numId="16">
    <w:abstractNumId w:val="15"/>
  </w:num>
  <w:num w:numId="17">
    <w:abstractNumId w:val="31"/>
  </w:num>
  <w:num w:numId="18">
    <w:abstractNumId w:val="27"/>
  </w:num>
  <w:num w:numId="19">
    <w:abstractNumId w:val="11"/>
  </w:num>
  <w:num w:numId="20">
    <w:abstractNumId w:val="34"/>
  </w:num>
  <w:num w:numId="21">
    <w:abstractNumId w:val="28"/>
  </w:num>
  <w:num w:numId="22">
    <w:abstractNumId w:val="12"/>
  </w:num>
  <w:num w:numId="23">
    <w:abstractNumId w:val="37"/>
  </w:num>
  <w:num w:numId="24">
    <w:abstractNumId w:val="19"/>
  </w:num>
  <w:num w:numId="25">
    <w:abstractNumId w:val="32"/>
  </w:num>
  <w:num w:numId="26">
    <w:abstractNumId w:val="29"/>
  </w:num>
  <w:num w:numId="27">
    <w:abstractNumId w:val="36"/>
  </w:num>
  <w:num w:numId="28">
    <w:abstractNumId w:val="13"/>
  </w:num>
  <w:num w:numId="29">
    <w:abstractNumId w:val="20"/>
  </w:num>
  <w:num w:numId="30">
    <w:abstractNumId w:val="18"/>
  </w:num>
  <w:num w:numId="31">
    <w:abstractNumId w:val="7"/>
  </w:num>
  <w:num w:numId="32">
    <w:abstractNumId w:val="25"/>
  </w:num>
  <w:num w:numId="33">
    <w:abstractNumId w:val="22"/>
  </w:num>
  <w:num w:numId="34">
    <w:abstractNumId w:val="14"/>
  </w:num>
  <w:num w:numId="35">
    <w:abstractNumId w:val="9"/>
  </w:num>
  <w:num w:numId="36">
    <w:abstractNumId w:val="24"/>
  </w:num>
  <w:num w:numId="37">
    <w:abstractNumId w:val="21"/>
  </w:num>
  <w:num w:numId="38">
    <w:abstractNumId w:val="10"/>
  </w:num>
  <w:num w:numId="39">
    <w:abstractNumId w:val="30"/>
  </w:num>
  <w:num w:numId="40">
    <w:abstractNumId w:val="17"/>
  </w:num>
  <w:num w:numId="41">
    <w:abstractNumId w:val="16"/>
  </w:num>
  <w:num w:numId="42">
    <w:abstractNumId w:val="39"/>
  </w:num>
  <w:num w:numId="43">
    <w:abstractNumId w:val="26"/>
  </w:num>
  <w:num w:numId="44">
    <w:abstractNumId w:val="33"/>
  </w:num>
  <w:num w:numId="45">
    <w:abstractNumId w:val="5"/>
  </w:num>
  <w:num w:numId="46">
    <w:abstractNumId w:val="23"/>
  </w:num>
  <w:num w:numId="47">
    <w:abstractNumId w:val="3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92"/>
    <w:rsid w:val="00011A7C"/>
    <w:rsid w:val="00031CEB"/>
    <w:rsid w:val="00052500"/>
    <w:rsid w:val="00067F89"/>
    <w:rsid w:val="0007667B"/>
    <w:rsid w:val="00077FF2"/>
    <w:rsid w:val="00083792"/>
    <w:rsid w:val="000849C3"/>
    <w:rsid w:val="00096D03"/>
    <w:rsid w:val="000A540A"/>
    <w:rsid w:val="000B31E3"/>
    <w:rsid w:val="000B6FB6"/>
    <w:rsid w:val="000B7C3A"/>
    <w:rsid w:val="000C25DD"/>
    <w:rsid w:val="000C58AD"/>
    <w:rsid w:val="000D21F1"/>
    <w:rsid w:val="000D47B0"/>
    <w:rsid w:val="000D6143"/>
    <w:rsid w:val="000F1860"/>
    <w:rsid w:val="000F3257"/>
    <w:rsid w:val="00103198"/>
    <w:rsid w:val="0010710C"/>
    <w:rsid w:val="001118C2"/>
    <w:rsid w:val="001118E2"/>
    <w:rsid w:val="00131FD1"/>
    <w:rsid w:val="001327A4"/>
    <w:rsid w:val="00133AD6"/>
    <w:rsid w:val="00136869"/>
    <w:rsid w:val="00162C48"/>
    <w:rsid w:val="00174E9B"/>
    <w:rsid w:val="00187964"/>
    <w:rsid w:val="0019152A"/>
    <w:rsid w:val="001A7391"/>
    <w:rsid w:val="001C5C64"/>
    <w:rsid w:val="001C7E5C"/>
    <w:rsid w:val="001C7E95"/>
    <w:rsid w:val="001D07D0"/>
    <w:rsid w:val="001D16F8"/>
    <w:rsid w:val="001E2182"/>
    <w:rsid w:val="001F022E"/>
    <w:rsid w:val="00204C76"/>
    <w:rsid w:val="00213147"/>
    <w:rsid w:val="00244DEB"/>
    <w:rsid w:val="0025170F"/>
    <w:rsid w:val="00256D6C"/>
    <w:rsid w:val="002833A4"/>
    <w:rsid w:val="002A1C6F"/>
    <w:rsid w:val="002A3FDA"/>
    <w:rsid w:val="002B2E42"/>
    <w:rsid w:val="002B6DB9"/>
    <w:rsid w:val="002C125B"/>
    <w:rsid w:val="002C399F"/>
    <w:rsid w:val="002E1591"/>
    <w:rsid w:val="002E4E62"/>
    <w:rsid w:val="002F40EF"/>
    <w:rsid w:val="00301FF6"/>
    <w:rsid w:val="00303E58"/>
    <w:rsid w:val="00306303"/>
    <w:rsid w:val="003063B0"/>
    <w:rsid w:val="00317E83"/>
    <w:rsid w:val="00333DA7"/>
    <w:rsid w:val="00336CBD"/>
    <w:rsid w:val="0035616F"/>
    <w:rsid w:val="00363E56"/>
    <w:rsid w:val="00365C85"/>
    <w:rsid w:val="0036769C"/>
    <w:rsid w:val="00376D7D"/>
    <w:rsid w:val="00382FEC"/>
    <w:rsid w:val="0038562A"/>
    <w:rsid w:val="00392822"/>
    <w:rsid w:val="00393AB2"/>
    <w:rsid w:val="003A1E97"/>
    <w:rsid w:val="003B556F"/>
    <w:rsid w:val="003B5EE2"/>
    <w:rsid w:val="003C5A50"/>
    <w:rsid w:val="003C5F2E"/>
    <w:rsid w:val="003C653B"/>
    <w:rsid w:val="003E13B6"/>
    <w:rsid w:val="003E5217"/>
    <w:rsid w:val="004038B7"/>
    <w:rsid w:val="0040784C"/>
    <w:rsid w:val="0041687C"/>
    <w:rsid w:val="00441A0F"/>
    <w:rsid w:val="00442653"/>
    <w:rsid w:val="004501AF"/>
    <w:rsid w:val="0045339A"/>
    <w:rsid w:val="00453E05"/>
    <w:rsid w:val="00461DA6"/>
    <w:rsid w:val="004714D8"/>
    <w:rsid w:val="0049064D"/>
    <w:rsid w:val="00491558"/>
    <w:rsid w:val="004A46BC"/>
    <w:rsid w:val="004B5612"/>
    <w:rsid w:val="004B60FD"/>
    <w:rsid w:val="004B7ABD"/>
    <w:rsid w:val="004D1D5E"/>
    <w:rsid w:val="004D46C9"/>
    <w:rsid w:val="004E07B0"/>
    <w:rsid w:val="004E132C"/>
    <w:rsid w:val="004E7E34"/>
    <w:rsid w:val="004F04B7"/>
    <w:rsid w:val="004F0EBB"/>
    <w:rsid w:val="004F224E"/>
    <w:rsid w:val="004F7358"/>
    <w:rsid w:val="00507EB8"/>
    <w:rsid w:val="00511AB2"/>
    <w:rsid w:val="005128A0"/>
    <w:rsid w:val="005145D7"/>
    <w:rsid w:val="00520961"/>
    <w:rsid w:val="005214F0"/>
    <w:rsid w:val="005252F2"/>
    <w:rsid w:val="00530E27"/>
    <w:rsid w:val="0053162A"/>
    <w:rsid w:val="005365D8"/>
    <w:rsid w:val="00541A79"/>
    <w:rsid w:val="005559E5"/>
    <w:rsid w:val="0056318C"/>
    <w:rsid w:val="005651BC"/>
    <w:rsid w:val="00577E7D"/>
    <w:rsid w:val="00587D5B"/>
    <w:rsid w:val="005A5D24"/>
    <w:rsid w:val="005A7E7B"/>
    <w:rsid w:val="005B3EE8"/>
    <w:rsid w:val="005C52A8"/>
    <w:rsid w:val="005C7536"/>
    <w:rsid w:val="005E03A1"/>
    <w:rsid w:val="005E292B"/>
    <w:rsid w:val="005E4CF9"/>
    <w:rsid w:val="005E62D6"/>
    <w:rsid w:val="005F3829"/>
    <w:rsid w:val="005F67C5"/>
    <w:rsid w:val="005F7B2A"/>
    <w:rsid w:val="00623268"/>
    <w:rsid w:val="006304F3"/>
    <w:rsid w:val="00631069"/>
    <w:rsid w:val="00632461"/>
    <w:rsid w:val="00640030"/>
    <w:rsid w:val="0064279E"/>
    <w:rsid w:val="00654485"/>
    <w:rsid w:val="00694077"/>
    <w:rsid w:val="006C58E0"/>
    <w:rsid w:val="006F49B3"/>
    <w:rsid w:val="006F6F41"/>
    <w:rsid w:val="00705061"/>
    <w:rsid w:val="00725BD9"/>
    <w:rsid w:val="00732E6C"/>
    <w:rsid w:val="0074529E"/>
    <w:rsid w:val="00746715"/>
    <w:rsid w:val="007477A8"/>
    <w:rsid w:val="00747D77"/>
    <w:rsid w:val="00755BBD"/>
    <w:rsid w:val="00766D29"/>
    <w:rsid w:val="007679FB"/>
    <w:rsid w:val="007709F7"/>
    <w:rsid w:val="00771F45"/>
    <w:rsid w:val="00775574"/>
    <w:rsid w:val="007A54AC"/>
    <w:rsid w:val="007C0498"/>
    <w:rsid w:val="007C3C53"/>
    <w:rsid w:val="007D0BA1"/>
    <w:rsid w:val="007D1ACC"/>
    <w:rsid w:val="007D766E"/>
    <w:rsid w:val="00813F2E"/>
    <w:rsid w:val="00826004"/>
    <w:rsid w:val="00826118"/>
    <w:rsid w:val="008455C7"/>
    <w:rsid w:val="00850DB5"/>
    <w:rsid w:val="00855C87"/>
    <w:rsid w:val="00857182"/>
    <w:rsid w:val="00874A77"/>
    <w:rsid w:val="00875CC9"/>
    <w:rsid w:val="008A3015"/>
    <w:rsid w:val="008B1089"/>
    <w:rsid w:val="008B52A9"/>
    <w:rsid w:val="008E17D1"/>
    <w:rsid w:val="008E20DD"/>
    <w:rsid w:val="008F0EB3"/>
    <w:rsid w:val="008F132E"/>
    <w:rsid w:val="008F3350"/>
    <w:rsid w:val="008F5D53"/>
    <w:rsid w:val="00901050"/>
    <w:rsid w:val="00904B4C"/>
    <w:rsid w:val="00905499"/>
    <w:rsid w:val="0091317B"/>
    <w:rsid w:val="00913A7D"/>
    <w:rsid w:val="00913FDA"/>
    <w:rsid w:val="00916374"/>
    <w:rsid w:val="009342CD"/>
    <w:rsid w:val="00935A72"/>
    <w:rsid w:val="00944B6A"/>
    <w:rsid w:val="00947DE3"/>
    <w:rsid w:val="0095269F"/>
    <w:rsid w:val="00954DD7"/>
    <w:rsid w:val="009621FF"/>
    <w:rsid w:val="00963813"/>
    <w:rsid w:val="00967E89"/>
    <w:rsid w:val="0098765D"/>
    <w:rsid w:val="009A4480"/>
    <w:rsid w:val="009B0C30"/>
    <w:rsid w:val="009D2464"/>
    <w:rsid w:val="009D43BB"/>
    <w:rsid w:val="009E37B6"/>
    <w:rsid w:val="009E5D5B"/>
    <w:rsid w:val="00A137E4"/>
    <w:rsid w:val="00A21D15"/>
    <w:rsid w:val="00A24608"/>
    <w:rsid w:val="00A30AD2"/>
    <w:rsid w:val="00A4064E"/>
    <w:rsid w:val="00A43C56"/>
    <w:rsid w:val="00A51B21"/>
    <w:rsid w:val="00A53DAF"/>
    <w:rsid w:val="00A63D88"/>
    <w:rsid w:val="00A82A60"/>
    <w:rsid w:val="00A970A9"/>
    <w:rsid w:val="00AA13E3"/>
    <w:rsid w:val="00AB24D8"/>
    <w:rsid w:val="00AC4F2F"/>
    <w:rsid w:val="00AD7CE3"/>
    <w:rsid w:val="00AE5C8E"/>
    <w:rsid w:val="00AF0E4D"/>
    <w:rsid w:val="00AF282B"/>
    <w:rsid w:val="00B02249"/>
    <w:rsid w:val="00B05F4B"/>
    <w:rsid w:val="00B10178"/>
    <w:rsid w:val="00B102C4"/>
    <w:rsid w:val="00B40B76"/>
    <w:rsid w:val="00B525A3"/>
    <w:rsid w:val="00B61F17"/>
    <w:rsid w:val="00B66085"/>
    <w:rsid w:val="00B71A66"/>
    <w:rsid w:val="00B8722C"/>
    <w:rsid w:val="00B87962"/>
    <w:rsid w:val="00B9069A"/>
    <w:rsid w:val="00B93121"/>
    <w:rsid w:val="00B94146"/>
    <w:rsid w:val="00B9726E"/>
    <w:rsid w:val="00B975C5"/>
    <w:rsid w:val="00BC3E5E"/>
    <w:rsid w:val="00BE1929"/>
    <w:rsid w:val="00BE24EE"/>
    <w:rsid w:val="00BE3E81"/>
    <w:rsid w:val="00C02206"/>
    <w:rsid w:val="00C114ED"/>
    <w:rsid w:val="00C121E1"/>
    <w:rsid w:val="00C22C11"/>
    <w:rsid w:val="00C26092"/>
    <w:rsid w:val="00C43D30"/>
    <w:rsid w:val="00C53CE5"/>
    <w:rsid w:val="00C555A4"/>
    <w:rsid w:val="00C55883"/>
    <w:rsid w:val="00C620EC"/>
    <w:rsid w:val="00C64714"/>
    <w:rsid w:val="00C653CD"/>
    <w:rsid w:val="00C65684"/>
    <w:rsid w:val="00C67CFC"/>
    <w:rsid w:val="00C67D37"/>
    <w:rsid w:val="00C754F8"/>
    <w:rsid w:val="00C91ADC"/>
    <w:rsid w:val="00CA5E75"/>
    <w:rsid w:val="00CB5F4B"/>
    <w:rsid w:val="00CB6A06"/>
    <w:rsid w:val="00CC7391"/>
    <w:rsid w:val="00CD6361"/>
    <w:rsid w:val="00CE7976"/>
    <w:rsid w:val="00D02D32"/>
    <w:rsid w:val="00D11493"/>
    <w:rsid w:val="00D15CFD"/>
    <w:rsid w:val="00D16A17"/>
    <w:rsid w:val="00D2766A"/>
    <w:rsid w:val="00D34BD5"/>
    <w:rsid w:val="00D522F6"/>
    <w:rsid w:val="00D52320"/>
    <w:rsid w:val="00D57C8A"/>
    <w:rsid w:val="00D619C9"/>
    <w:rsid w:val="00D63C7E"/>
    <w:rsid w:val="00D64B28"/>
    <w:rsid w:val="00D6731D"/>
    <w:rsid w:val="00D77E66"/>
    <w:rsid w:val="00D85CC6"/>
    <w:rsid w:val="00D91720"/>
    <w:rsid w:val="00DB07C2"/>
    <w:rsid w:val="00DB464D"/>
    <w:rsid w:val="00DD51C1"/>
    <w:rsid w:val="00DD7EC9"/>
    <w:rsid w:val="00DE2634"/>
    <w:rsid w:val="00DE7386"/>
    <w:rsid w:val="00E07F6E"/>
    <w:rsid w:val="00E13DC3"/>
    <w:rsid w:val="00E216AC"/>
    <w:rsid w:val="00E270D5"/>
    <w:rsid w:val="00E4515F"/>
    <w:rsid w:val="00E535D9"/>
    <w:rsid w:val="00E64ABA"/>
    <w:rsid w:val="00E73A89"/>
    <w:rsid w:val="00E868BD"/>
    <w:rsid w:val="00E90101"/>
    <w:rsid w:val="00ED575E"/>
    <w:rsid w:val="00EE1EA1"/>
    <w:rsid w:val="00EE4EA5"/>
    <w:rsid w:val="00F05C6C"/>
    <w:rsid w:val="00F13D2A"/>
    <w:rsid w:val="00F15579"/>
    <w:rsid w:val="00F24FEC"/>
    <w:rsid w:val="00F263C4"/>
    <w:rsid w:val="00F3413A"/>
    <w:rsid w:val="00F34D72"/>
    <w:rsid w:val="00F42D40"/>
    <w:rsid w:val="00F47785"/>
    <w:rsid w:val="00F505AC"/>
    <w:rsid w:val="00F54398"/>
    <w:rsid w:val="00F570BC"/>
    <w:rsid w:val="00F647B8"/>
    <w:rsid w:val="00F77108"/>
    <w:rsid w:val="00F83266"/>
    <w:rsid w:val="00F84C7A"/>
    <w:rsid w:val="00F862C1"/>
    <w:rsid w:val="00F86C65"/>
    <w:rsid w:val="00F96C21"/>
    <w:rsid w:val="00FA5D8B"/>
    <w:rsid w:val="00FC7221"/>
    <w:rsid w:val="00FD21FA"/>
    <w:rsid w:val="00FE4F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682AA02"/>
  <w15:docId w15:val="{BE683C35-DB24-4966-8AD8-C4793ABD6183}"/>
  <w:removePersonalInformation/>
  <w:removeDateAndTim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3413A"/>
  </w:style>
  <w:style w:type="paragraph" w:styleId="berschrift1">
    <w:name w:val="heading 1"/>
    <w:basedOn w:val="Standard"/>
    <w:next w:val="Standard"/>
    <w:autoRedefine/>
    <w:qFormat/>
    <w:pPr>
      <w:numPr>
        <w:numId w:val="11"/>
      </w:numPr>
      <w:tabs>
        <w:tab w:val="clear" w:pos="432"/>
        <w:tab w:val="num" w:pos="360"/>
      </w:tabs>
      <w:spacing w:before="240" w:after="120"/>
      <w:ind w:left="0" w:firstLine="0"/>
      <w:outlineLvl w:val="0"/>
    </w:pPr>
    <w:rPr>
      <w:rFonts w:cs="Arial"/>
      <w:b/>
      <w:bCs/>
      <w:szCs w:val="32"/>
    </w:rPr>
  </w:style>
  <w:style w:type="paragraph" w:styleId="berschrift2">
    <w:name w:val="heading 2"/>
    <w:basedOn w:val="berschrift1"/>
    <w:next w:val="Standard"/>
    <w:autoRedefine/>
    <w:qFormat/>
    <w:rsid w:val="00EE4EA5"/>
    <w:pPr>
      <w:numPr>
        <w:ilvl w:val="1"/>
        <w:numId w:val="12"/>
      </w:numPr>
      <w:tabs>
        <w:tab w:val="clear" w:pos="576"/>
        <w:tab w:val="num" w:pos="360"/>
        <w:tab w:val="left" w:pos="624"/>
      </w:tabs>
      <w:ind w:left="0" w:firstLine="0"/>
      <w:outlineLvl w:val="1"/>
    </w:pPr>
    <w:rPr>
      <w:bCs w:val="0"/>
      <w:iCs/>
      <w:sz w:val="26"/>
      <w:szCs w:val="28"/>
    </w:rPr>
  </w:style>
  <w:style w:type="paragraph" w:styleId="berschrift3">
    <w:name w:val="heading 3"/>
    <w:basedOn w:val="berschrift1"/>
    <w:next w:val="Standard"/>
    <w:autoRedefine/>
    <w:qFormat/>
    <w:rsid w:val="00EE4EA5"/>
    <w:pPr>
      <w:numPr>
        <w:ilvl w:val="2"/>
        <w:numId w:val="13"/>
      </w:numPr>
      <w:tabs>
        <w:tab w:val="clear" w:pos="720"/>
        <w:tab w:val="num" w:pos="360"/>
        <w:tab w:val="left" w:pos="794"/>
      </w:tabs>
      <w:ind w:left="0" w:firstLine="0"/>
      <w:outlineLvl w:val="2"/>
    </w:pPr>
    <w:rPr>
      <w:b w:val="0"/>
      <w:bCs w:val="0"/>
      <w:szCs w:val="26"/>
    </w:rPr>
  </w:style>
  <w:style w:type="paragraph" w:styleId="berschrift4">
    <w:name w:val="heading 4"/>
    <w:basedOn w:val="berschrift1"/>
    <w:next w:val="Standard"/>
    <w:qFormat/>
    <w:pPr>
      <w:numPr>
        <w:ilvl w:val="3"/>
        <w:numId w:val="14"/>
      </w:numPr>
      <w:tabs>
        <w:tab w:val="clear" w:pos="864"/>
        <w:tab w:val="num" w:pos="360"/>
        <w:tab w:val="left" w:pos="964"/>
      </w:tabs>
      <w:ind w:left="0" w:firstLine="0"/>
      <w:outlineLvl w:val="3"/>
    </w:pPr>
    <w:rPr>
      <w:b w:val="0"/>
      <w:bCs w:val="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pPr>
      <w:tabs>
        <w:tab w:val="center" w:pos="4536"/>
        <w:tab w:val="right" w:pos="9072"/>
      </w:tabs>
    </w:pPr>
    <w:rPr>
      <w:b/>
      <w:bCs/>
      <w:szCs w:val="20"/>
    </w:rPr>
  </w:style>
  <w:style w:type="paragraph" w:styleId="Fuzeile">
    <w:name w:val="footer"/>
    <w:basedOn w:val="Vordruck8No"/>
    <w:rsid w:val="002833A4"/>
  </w:style>
  <w:style w:type="paragraph" w:customStyle="1" w:styleId="Vordruck8No">
    <w:name w:val="Vordruck8No"/>
    <w:basedOn w:val="Vordruck8"/>
    <w:rsid w:val="00D2766A"/>
    <w:rPr>
      <w:noProof/>
    </w:rPr>
  </w:style>
  <w:style w:type="paragraph" w:customStyle="1" w:styleId="Vordruck8">
    <w:name w:val="Vordruck8"/>
    <w:basedOn w:val="Standard"/>
    <w:rsid w:val="004F7358"/>
    <w:rPr>
      <w:sz w:val="16"/>
    </w:rPr>
  </w:style>
  <w:style w:type="paragraph" w:styleId="Kopfzeile">
    <w:name w:val="header"/>
    <w:basedOn w:val="Vordruck8No"/>
    <w:pPr>
      <w:tabs>
        <w:tab w:val="center" w:pos="4536"/>
        <w:tab w:val="right" w:pos="9072"/>
      </w:tabs>
    </w:pPr>
  </w:style>
  <w:style w:type="paragraph" w:customStyle="1" w:styleId="StandardNo">
    <w:name w:val="StandardNo"/>
    <w:basedOn w:val="Standard"/>
    <w:rsid w:val="002833A4"/>
    <w:rPr>
      <w:noProof/>
    </w:rPr>
  </w:style>
  <w:style w:type="paragraph" w:styleId="Verzeichnis1">
    <w:name w:val="toc 1"/>
    <w:basedOn w:val="Standard"/>
    <w:next w:val="Standard"/>
    <w:autoRedefine/>
    <w:semiHidden/>
    <w:pPr>
      <w:spacing w:before="120"/>
      <w:ind w:left="1134" w:hanging="1134"/>
    </w:pPr>
    <w:rPr>
      <w:b/>
    </w:rPr>
  </w:style>
  <w:style w:type="paragraph" w:styleId="Verzeichnis2">
    <w:name w:val="toc 2"/>
    <w:basedOn w:val="Standard"/>
    <w:next w:val="Standard"/>
    <w:autoRedefine/>
    <w:semiHidden/>
    <w:pPr>
      <w:ind w:left="1134" w:hanging="1134"/>
    </w:pPr>
  </w:style>
  <w:style w:type="paragraph" w:styleId="Verzeichnis3">
    <w:name w:val="toc 3"/>
    <w:basedOn w:val="Standard"/>
    <w:next w:val="Standard"/>
    <w:autoRedefine/>
    <w:semiHidden/>
    <w:pPr>
      <w:ind w:left="1134" w:hanging="1134"/>
    </w:pPr>
  </w:style>
  <w:style w:type="paragraph" w:styleId="Verzeichnis4">
    <w:name w:val="toc 4"/>
    <w:basedOn w:val="Standard"/>
    <w:next w:val="Standard"/>
    <w:autoRedefine/>
    <w:semiHidden/>
    <w:pPr>
      <w:ind w:left="1134" w:hanging="1134"/>
    </w:pPr>
  </w:style>
  <w:style w:type="paragraph" w:customStyle="1" w:styleId="Vordruck80">
    <w:name w:val="Vordruck 8"/>
    <w:basedOn w:val="Standard"/>
    <w:rsid w:val="001118E2"/>
    <w:rPr>
      <w:sz w:val="16"/>
    </w:rPr>
  </w:style>
  <w:style w:type="paragraph" w:customStyle="1" w:styleId="Vordruck8No0">
    <w:name w:val="Vordruck 8 No"/>
    <w:basedOn w:val="Standard"/>
    <w:rsid w:val="001118E2"/>
    <w:rPr>
      <w:noProof/>
      <w:sz w:val="16"/>
      <w:lang w:val="de-DE"/>
    </w:rPr>
  </w:style>
  <w:style w:type="paragraph" w:styleId="Sprechblasentext">
    <w:name w:val="Balloon Text"/>
    <w:basedOn w:val="Standard"/>
    <w:link w:val="SprechblasentextZchn"/>
    <w:rsid w:val="002B6DB9"/>
    <w:rPr>
      <w:rFonts w:ascii="Tahoma" w:hAnsi="Tahoma" w:cs="Tahoma"/>
      <w:sz w:val="16"/>
      <w:szCs w:val="16"/>
    </w:rPr>
  </w:style>
  <w:style w:type="character" w:customStyle="1" w:styleId="SprechblasentextZchn">
    <w:name w:val="Sprechblasentext Zchn"/>
    <w:basedOn w:val="Absatz-Standardschriftart"/>
    <w:link w:val="Sprechblasentext"/>
    <w:rsid w:val="002B6DB9"/>
    <w:rPr>
      <w:rFonts w:ascii="Tahoma" w:hAnsi="Tahoma" w:cs="Tahoma"/>
      <w:sz w:val="16"/>
      <w:szCs w:val="16"/>
      <w:lang w:eastAsia="de-DE"/>
    </w:rPr>
  </w:style>
  <w:style w:type="paragraph" w:styleId="Untertitel">
    <w:name w:val="Subtitle"/>
    <w:basedOn w:val="Standard"/>
    <w:next w:val="Standard"/>
    <w:link w:val="UntertitelZchn"/>
    <w:rsid w:val="002A3FDA"/>
    <w:pPr>
      <w:spacing w:after="60"/>
      <w:jc w:val="center"/>
      <w:outlineLvl w:val="1"/>
    </w:pPr>
    <w:rPr>
      <w:rFonts w:asciiTheme="majorHAnsi" w:eastAsiaTheme="majorEastAsia" w:hAnsiTheme="majorHAnsi" w:cstheme="majorBidi"/>
      <w:sz w:val="24"/>
    </w:rPr>
  </w:style>
  <w:style w:type="character" w:customStyle="1" w:styleId="UntertitelZchn">
    <w:name w:val="Untertitel Zchn"/>
    <w:basedOn w:val="Absatz-Standardschriftart"/>
    <w:link w:val="Untertitel"/>
    <w:rsid w:val="002A3FDA"/>
    <w:rPr>
      <w:rFonts w:asciiTheme="majorHAnsi" w:eastAsiaTheme="majorEastAsia" w:hAnsiTheme="majorHAnsi" w:cstheme="majorBidi"/>
      <w:sz w:val="24"/>
      <w:szCs w:val="24"/>
      <w:lang w:eastAsia="de-DE"/>
    </w:rPr>
  </w:style>
  <w:style w:type="character" w:styleId="Hervorhebung">
    <w:name w:val="Emphasis"/>
    <w:basedOn w:val="Absatz-Standardschriftart"/>
    <w:qFormat/>
    <w:rsid w:val="002A3FDA"/>
    <w:rPr>
      <w:i/>
      <w:iCs/>
    </w:rPr>
  </w:style>
  <w:style w:type="character" w:styleId="Fett">
    <w:name w:val="Strong"/>
    <w:basedOn w:val="Absatz-Standardschriftart"/>
    <w:qFormat/>
    <w:rsid w:val="002A3FDA"/>
    <w:rPr>
      <w:b/>
      <w:bCs/>
    </w:rPr>
  </w:style>
  <w:style w:type="paragraph" w:customStyle="1" w:styleId="Ansprechpartner">
    <w:name w:val="Ansprechpartner"/>
    <w:basedOn w:val="Vordruck8No0"/>
    <w:qFormat/>
    <w:rsid w:val="002A3FDA"/>
    <w:rPr>
      <w:sz w:val="18"/>
      <w:szCs w:val="18"/>
      <w:lang w:val="de-CH"/>
    </w:rPr>
  </w:style>
  <w:style w:type="paragraph" w:styleId="Titel">
    <w:name w:val="Title"/>
    <w:basedOn w:val="Standard"/>
    <w:next w:val="Standard"/>
    <w:link w:val="TitelZchn"/>
    <w:autoRedefine/>
    <w:qFormat/>
    <w:rsid w:val="00F263C4"/>
    <w:pPr>
      <w:spacing w:before="240" w:after="60"/>
      <w:outlineLvl w:val="0"/>
    </w:pPr>
    <w:rPr>
      <w:rFonts w:eastAsiaTheme="majorEastAsia" w:cstheme="majorBidi"/>
      <w:b/>
      <w:bCs/>
      <w:kern w:val="28"/>
      <w:sz w:val="30"/>
      <w:szCs w:val="32"/>
    </w:rPr>
  </w:style>
  <w:style w:type="character" w:customStyle="1" w:styleId="TitelZchn">
    <w:name w:val="Titel Zchn"/>
    <w:basedOn w:val="Absatz-Standardschriftart"/>
    <w:link w:val="Titel"/>
    <w:rsid w:val="00F263C4"/>
    <w:rPr>
      <w:rFonts w:ascii="Arial" w:eastAsiaTheme="majorEastAsia" w:hAnsi="Arial" w:cstheme="majorBidi"/>
      <w:b/>
      <w:bCs/>
      <w:kern w:val="28"/>
      <w:sz w:val="30"/>
      <w:szCs w:val="32"/>
      <w:lang w:eastAsia="de-DE"/>
    </w:rPr>
  </w:style>
  <w:style w:type="paragraph" w:styleId="Listenabsatz">
    <w:name w:val="List Paragraph"/>
    <w:basedOn w:val="Standard"/>
    <w:uiPriority w:val="34"/>
    <w:rsid w:val="00E90101"/>
    <w:pPr>
      <w:ind w:left="720"/>
      <w:contextualSpacing/>
    </w:pPr>
  </w:style>
  <w:style w:type="paragraph" w:customStyle="1" w:styleId="KeinAbsatzformat">
    <w:name w:val="[Kein Absatzformat]"/>
    <w:rsid w:val="00C26092"/>
    <w:pPr>
      <w:autoSpaceDE w:val="0"/>
      <w:autoSpaceDN w:val="0"/>
      <w:adjustRightInd w:val="0"/>
      <w:spacing w:line="288" w:lineRule="auto"/>
      <w:textAlignment w:val="center"/>
    </w:pPr>
    <w:rPr>
      <w:rFonts w:ascii="Bulo Bold" w:hAnsi="Bulo Bold"/>
      <w:color w:val="000000"/>
      <w:sz w:val="24"/>
      <w:szCs w:val="24"/>
      <w:lang w:val="de-DE"/>
    </w:rPr>
  </w:style>
  <w:style w:type="paragraph" w:customStyle="1" w:styleId="tabellegt">
    <w:name w:val="tabelle_gt"/>
    <w:basedOn w:val="KeinAbsatzformat"/>
    <w:uiPriority w:val="99"/>
    <w:rsid w:val="00C26092"/>
    <w:rPr>
      <w:rFonts w:ascii="Bulo Regular" w:hAnsi="Bulo Regular" w:cs="Bulo Regular"/>
      <w:sz w:val="18"/>
      <w:szCs w:val="18"/>
    </w:rPr>
  </w:style>
  <w:style w:type="paragraph" w:customStyle="1" w:styleId="tabelletitel">
    <w:name w:val="tabelle titel"/>
    <w:basedOn w:val="tabellegt"/>
    <w:uiPriority w:val="99"/>
    <w:rsid w:val="00C26092"/>
    <w:rPr>
      <w:rFonts w:ascii="Bulo Bold" w:hAnsi="Bulo Bold" w:cs="Bulo Bold"/>
      <w:b/>
      <w:bCs/>
      <w:color w:val="FFFFFF"/>
    </w:rPr>
  </w:style>
  <w:style w:type="paragraph" w:customStyle="1" w:styleId="tabelleUntertitel">
    <w:name w:val="tabelle_Untertitel"/>
    <w:basedOn w:val="tabellegt"/>
    <w:uiPriority w:val="99"/>
    <w:rsid w:val="00C26092"/>
    <w:rPr>
      <w:rFonts w:ascii="Bulo Bold" w:hAnsi="Bulo Bold" w:cs="Bulo Bold"/>
      <w:b/>
      <w:bCs/>
    </w:rPr>
  </w:style>
  <w:style w:type="paragraph" w:customStyle="1" w:styleId="tabelleliste">
    <w:name w:val="tabelle_liste"/>
    <w:basedOn w:val="tabellegt"/>
    <w:uiPriority w:val="99"/>
    <w:rsid w:val="00C26092"/>
    <w:pPr>
      <w:tabs>
        <w:tab w:val="left" w:pos="340"/>
      </w:tabs>
      <w:ind w:left="340" w:hanging="340"/>
      <w:jc w:val="both"/>
    </w:pPr>
  </w:style>
  <w:style w:type="character" w:customStyle="1" w:styleId="ExpertLight">
    <w:name w:val="Expert_Light"/>
    <w:uiPriority w:val="99"/>
    <w:rsid w:val="00C26092"/>
    <w:rPr>
      <w:color w:val="FFFFFF"/>
    </w:rPr>
  </w:style>
  <w:style w:type="character" w:customStyle="1" w:styleId="bold">
    <w:name w:val="bold"/>
    <w:uiPriority w:val="99"/>
    <w:rsid w:val="00C26092"/>
    <w:rPr>
      <w:b/>
      <w:bCs/>
    </w:rPr>
  </w:style>
  <w:style w:type="character" w:customStyle="1" w:styleId="ExpertBold">
    <w:name w:val="Expert_Bold"/>
    <w:basedOn w:val="bold"/>
    <w:uiPriority w:val="99"/>
    <w:rsid w:val="00C26092"/>
    <w:rPr>
      <w:b/>
      <w:bCs/>
    </w:rPr>
  </w:style>
  <w:style w:type="character" w:customStyle="1" w:styleId="ExpertGrundschrift">
    <w:name w:val="Expert_Grundschrift"/>
    <w:uiPriority w:val="99"/>
    <w:rsid w:val="00C26092"/>
  </w:style>
  <w:style w:type="character" w:customStyle="1" w:styleId="HBlau">
    <w:name w:val="H+ Blau"/>
    <w:uiPriority w:val="99"/>
    <w:rsid w:val="00C26092"/>
    <w:rPr>
      <w:color w:val="005596"/>
    </w:rPr>
  </w:style>
  <w:style w:type="paragraph" w:customStyle="1" w:styleId="TitelseiteHaupttitel">
    <w:name w:val="Titelseite Haupttitel"/>
    <w:basedOn w:val="KeinAbsatzformat"/>
    <w:uiPriority w:val="99"/>
    <w:rsid w:val="00C26092"/>
    <w:pPr>
      <w:spacing w:line="240" w:lineRule="atLeast"/>
    </w:pPr>
    <w:rPr>
      <w:rFonts w:ascii="Bulo Light" w:hAnsi="Bulo Light" w:cs="Bulo Light"/>
      <w:color w:val="005596"/>
      <w:spacing w:val="8"/>
      <w:position w:val="6"/>
      <w:sz w:val="84"/>
      <w:szCs w:val="84"/>
      <w:lang w:val="de-CH"/>
    </w:rPr>
  </w:style>
  <w:style w:type="paragraph" w:customStyle="1" w:styleId="TitelseiteUntertitel">
    <w:name w:val="Titelseite Untertitel"/>
    <w:basedOn w:val="KeinAbsatzformat"/>
    <w:uiPriority w:val="99"/>
    <w:rsid w:val="00C26092"/>
    <w:pPr>
      <w:spacing w:line="260" w:lineRule="atLeast"/>
      <w:ind w:right="850"/>
    </w:pPr>
    <w:rPr>
      <w:rFonts w:cs="Bulo Bold"/>
      <w:b/>
      <w:bCs/>
      <w:color w:val="005596"/>
      <w:sz w:val="20"/>
      <w:szCs w:val="20"/>
    </w:rPr>
  </w:style>
  <w:style w:type="paragraph" w:customStyle="1" w:styleId="Pa4">
    <w:name w:val="Pa4"/>
    <w:basedOn w:val="Standard"/>
    <w:next w:val="Standard"/>
    <w:uiPriority w:val="99"/>
    <w:rsid w:val="009B0C30"/>
    <w:pPr>
      <w:autoSpaceDE w:val="0"/>
      <w:autoSpaceDN w:val="0"/>
      <w:adjustRightInd w:val="0"/>
      <w:spacing w:line="181" w:lineRule="atLeast"/>
    </w:pPr>
    <w:rPr>
      <w:rFonts w:ascii="Bulo Regular" w:hAnsi="Bulo Regular"/>
      <w:sz w:val="24"/>
      <w:szCs w:val="24"/>
    </w:rPr>
  </w:style>
  <w:style w:type="paragraph" w:styleId="Funotentext">
    <w:name w:val="footnote text"/>
    <w:basedOn w:val="Standard"/>
    <w:link w:val="FunotentextZchn"/>
    <w:semiHidden/>
    <w:unhideWhenUsed/>
    <w:rsid w:val="000D47B0"/>
    <w:rPr>
      <w:sz w:val="20"/>
      <w:szCs w:val="20"/>
    </w:rPr>
  </w:style>
  <w:style w:type="character" w:customStyle="1" w:styleId="FunotentextZchn">
    <w:name w:val="Fußnotentext Zchn"/>
    <w:basedOn w:val="Absatz-Standardschriftart"/>
    <w:link w:val="Funotentext"/>
    <w:semiHidden/>
    <w:rsid w:val="000D47B0"/>
    <w:rPr>
      <w:sz w:val="20"/>
      <w:szCs w:val="20"/>
    </w:rPr>
  </w:style>
  <w:style w:type="character" w:styleId="Funotenzeichen">
    <w:name w:val="footnote reference"/>
    <w:basedOn w:val="Absatz-Standardschriftart"/>
    <w:semiHidden/>
    <w:unhideWhenUsed/>
    <w:rsid w:val="000D4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header" Target="header1.xml"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&#65279;<?xml version="1.0" encoding="UTF-8" standalone="yes"?>
<Relationships xmlns="http://schemas.openxmlformats.org/package/2006/relationships"></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17</Pages>
  <Words>4691</Words>
  <Characters>29560</Characters>
  <DocSecurity>0</DocSecurity>
  <Lines>246</Lines>
  <Paragraphs>68</Paragraphs>
  <ScaleCrop>false</ScaleCrop>
  <HeadingPairs>
    <vt:vector size="4" baseType="variant">
      <vt:variant>
        <vt:lpstr>Titel</vt:lpstr>
      </vt:variant>
      <vt:variant>
        <vt:i4>1</vt:i4>
      </vt:variant>
      <vt:variant>
        <vt:lpstr>Titre</vt:lpstr>
      </vt:variant>
      <vt:variant>
        <vt:i4>1</vt:i4>
      </vt:variant>
    </vt:vector>
  </HeadingPairs>
  <LinksUpToDate>false</LinksUpToDate>
  <CharactersWithSpaces>34183</CharactersWithSpaces>
  <SharedDoc>false</SharedDoc>
  <HyperlinksChanged>false</HyperlinksChanged>
</Properties>
</file>