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76" w:lineRule="auto"/>
      </w:pPr>
    </w:p>
    <w:p>
      <w:pPr>
        <w:pStyle w:val="TitelseiteHaupttitel"/>
        <w:spacing w:line="276" w:lineRule="auto"/>
        <w:rPr>
          <w:rFonts w:ascii="Arial" w:hAnsi="Arial" w:cs="Arial"/>
        </w:rPr>
      </w:pPr>
      <w:r>
        <w:rPr>
          <w:rFonts w:ascii="Arial" w:hAnsi="Arial" w:cs="Arial"/>
        </w:rPr>
        <w:t>Checkliste Zertifizierung</w:t>
      </w:r>
    </w:p>
    <w:p>
      <w:pPr>
        <w:spacing w:line="276" w:lineRule="auto"/>
        <w:rPr>
          <w:color w:val="005496"/>
          <w:sz w:val="20"/>
          <w:szCs w:val="20"/>
        </w:rPr>
      </w:pPr>
      <w:r>
        <w:rPr>
          <w:color w:val="005496"/>
          <w:sz w:val="20"/>
          <w:szCs w:val="20"/>
        </w:rPr>
        <w:t>Die nachfolgende Checkliste di</w:t>
      </w:r>
      <w:r>
        <w:rPr>
          <w:color w:val="005496"/>
          <w:sz w:val="20"/>
          <w:szCs w:val="20"/>
        </w:rPr>
        <w:t xml:space="preserve">ent den Spitälern/Institutionen </w:t>
      </w:r>
      <w:r>
        <w:rPr>
          <w:color w:val="005496"/>
          <w:sz w:val="20"/>
          <w:szCs w:val="20"/>
        </w:rPr>
        <w:t>zur Vorbereitung auf die REKOLE</w:t>
      </w:r>
      <w:r>
        <w:rPr>
          <w:b/>
          <w:bCs/>
          <w:color w:val="005496"/>
          <w:sz w:val="20"/>
          <w:szCs w:val="20"/>
          <w:vertAlign w:val="superscript"/>
        </w:rPr>
        <w:t>®</w:t>
      </w:r>
      <w:r>
        <w:rPr>
          <w:color w:val="005496"/>
          <w:sz w:val="20"/>
          <w:szCs w:val="20"/>
        </w:rPr>
        <w:t xml:space="preserve">-Zertifizierung. </w:t>
      </w:r>
    </w:p>
    <w:p>
      <w:pPr>
        <w:spacing w:line="276" w:lineRule="auto"/>
        <w:ind w:right="-569"/>
      </w:pPr>
    </w:p>
    <w:p>
      <w:pPr>
        <w:spacing w:line="276" w:lineRule="auto"/>
        <w:ind w:right="-569"/>
        <w:jc w:val="right"/>
        <w:rPr>
          <w:sz w:val="18"/>
          <w:szCs w:val="18"/>
        </w:rPr>
      </w:pPr>
      <w:r>
        <w:rPr>
          <w:sz w:val="18"/>
          <w:szCs w:val="18"/>
        </w:rPr>
        <w:t xml:space="preserve">Version </w:t>
      </w:r>
      <w:r>
        <w:rPr>
          <w:sz w:val="18"/>
          <w:szCs w:val="18"/>
        </w:rPr>
        <w:t>3.</w:t>
      </w:r>
      <w:r>
        <w:rPr>
          <w:sz w:val="18"/>
          <w:szCs w:val="18"/>
        </w:rPr>
        <w:t>5</w:t>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1</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Allgemeine Anforderungen</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trPr>
          <w:trHeight w:val="19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Zielsetzung/strategische Verankerung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355"/>
        </w:trPr>
        <w:sdt>
          <w:sdtPr>
            <w:rPr>
              <w:rFonts w:cs="Arial"/>
              <w:color w:val="000000"/>
              <w:sz w:val="18"/>
              <w:szCs w:val="18"/>
            </w:rPr>
            <w:id w:val="195635765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Vorliegen strategischer Entscheid der Spitalleitung zur Einführung und Weiterentwicklung des betrieblichen Rechnungswesens inkl. IT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21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Aufbau-/Ablauforganisation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80658646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Stellenbeschreibungen oder Funktionendiagramme der Verantwortlichen des betrieblichen Rechnungswesens inkl. deren Stellvertretungen. Die Aufgaben, Kompetenzen und Verantwortung bezüglich des betrieblichen Rechnungswesens müssen darin ersichtlich sein.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16"/>
        </w:trPr>
        <w:sdt>
          <w:sdtPr>
            <w:rPr>
              <w:rFonts w:cs="Arial"/>
              <w:color w:val="000000"/>
              <w:sz w:val="18"/>
              <w:szCs w:val="18"/>
            </w:rPr>
            <w:id w:val="6184452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der internen Schulungen, Ermittlung des Schulungsbedarfs usw. </w:t>
            </w:r>
            <w:r>
              <w:rPr>
                <w:rFonts w:cs="Arial"/>
                <w:color w:val="000000"/>
                <w:sz w:val="18"/>
                <w:szCs w:val="18"/>
              </w:rPr>
              <w:t>des Personals im betrieblichen Rechnungswesen/im REKOLE</w:t>
            </w:r>
            <w:r>
              <w:rPr>
                <w:rFonts w:cs="Arial"/>
                <w:color w:val="000000"/>
                <w:sz w:val="18"/>
                <w:szCs w:val="18"/>
                <w:vertAlign w:val="superscript"/>
              </w:rPr>
              <w:t>®</w:t>
            </w:r>
            <w:r>
              <w:rPr>
                <w:rFonts w:cs="Arial"/>
                <w:color w:val="000000"/>
                <w:sz w:val="18"/>
                <w:szCs w:val="18"/>
              </w:rPr>
              <w:t>-Kontext</w:t>
            </w:r>
            <w:r>
              <w:rPr>
                <w:rFonts w:cs="Arial"/>
                <w:color w:val="000000"/>
                <w:sz w:val="18"/>
                <w:szCs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04714691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Dokumentation der Kontrollen und wesentlichen Arbeitsschritte zur Sicherstellung des betrieblichen Rechnungswesens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7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IT-Organisation und Informationssysteme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Auf nachstehende Dokumentation und Aufzeichnungen kann verzichtet werden, wenn innerhalb der vergangenen 3 Jahre ein IT-Audit/Review/Check durchgeführt wurde, in welchem die das betriebliche Rechnungswesen betreffende IT geprüft wurde und ein entsprechendes Schlussdokument mit grundsätzlich positiver Beurteilung vorliegt. Vorlegen des Schlussdokuments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84365548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Vorliegen von Aufzeichnungen, Dokumentationen zu den Grundsätzen, Standards, Verfahrensabläufen und Kontrollen im Zusammenhang mit den IT-Aktivitäten (u. a. Daten-/Programmsicherheit, Anwendungsentwicklung und Freigabeverfahren/Change Management, IT-Betrieb und -Unterhalt)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36197135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Vorliegen von Aufzeichnungen, Dokumentationen zu Sicherheitsverfahren und Kontrollen, die den Zugang zu Daten und Programmen auf berechtigte Personen beschränken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206994840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Vorliegen von Aufzeichnungen, Dokumentationen zu physischen Sicherheitsverfahren und -strategien, um das Risiko von Betriebsunterbrechungen (Feuer, Überschwemmungen, Stromausfall usw.) zu minimieren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293638031"/>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Anweisungen zur Sicherung von Datenbeständen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lastRenderedPageBreak/>
              <w:t>2</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Dokumentationsanforderungen</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2.1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Lenkung von Dokumenten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259"/>
        </w:trPr>
        <w:sdt>
          <w:sdtPr>
            <w:rPr>
              <w:rFonts w:cs="Arial"/>
              <w:color w:val="000000"/>
              <w:sz w:val="18"/>
              <w:szCs w:val="18"/>
            </w:rPr>
            <w:id w:val="74299306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des betrieblichen Rechnungswesens und der damit verbundenen Struktur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54695741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Aufzeichnungen und Dokumentation der Aktualisierungen der Kostenrechnungsobjekte (KORE-Objekte) </w:t>
            </w:r>
          </w:p>
          <w:p>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Kostenarten</w:t>
            </w:r>
          </w:p>
          <w:p>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Kostenstellen (dienstleistende Kostenstellen, leistungserbringende Kostenstellen, Nebenbetriebe)</w:t>
            </w:r>
          </w:p>
          <w:p>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Verrechnungsschlüssel/Standards of Performance</w:t>
            </w:r>
          </w:p>
          <w:p>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Bezugsgrössen</w:t>
            </w:r>
          </w:p>
          <w:p>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Kostenträger (administrativer Fall, Auftrag)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2.2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Lenkung von Aufzeichnungen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2816391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Regelungen und Verfahren über die Lenkung von Aufzeichnungen beinhaltend: </w:t>
            </w:r>
          </w:p>
          <w:p>
            <w:pPr>
              <w:pStyle w:val="Listenabsatz"/>
              <w:numPr>
                <w:ilvl w:val="0"/>
                <w:numId w:val="19"/>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Aufbewahrungspflicht, Aufbewahrungsort und Aufbewahrungsdauer</w:t>
            </w:r>
          </w:p>
          <w:p>
            <w:pPr>
              <w:pStyle w:val="Listenabsatz"/>
              <w:numPr>
                <w:ilvl w:val="0"/>
                <w:numId w:val="19"/>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Wirksamkeit der Lenkung</w:t>
            </w:r>
          </w:p>
          <w:p>
            <w:pPr>
              <w:pStyle w:val="Listenabsatz"/>
              <w:numPr>
                <w:ilvl w:val="0"/>
                <w:numId w:val="19"/>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Mechanismen, die erlauben, die Verbesserungsvorschläge der Mitarbeitenden mitzuteilen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3</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 xml:space="preserve">Management von Ressourcen </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3.1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Interne REKOLE</w:t>
            </w:r>
            <w:r>
              <w:rPr>
                <w:rFonts w:cs="Arial"/>
                <w:b/>
                <w:bCs/>
                <w:color w:val="000000"/>
                <w:sz w:val="18"/>
                <w:szCs w:val="18"/>
                <w:vertAlign w:val="superscript"/>
              </w:rPr>
              <w:t>®</w:t>
            </w:r>
            <w:r>
              <w:rPr>
                <w:rFonts w:cs="Arial"/>
                <w:b/>
                <w:bCs/>
                <w:color w:val="000000"/>
                <w:sz w:val="18"/>
                <w:szCs w:val="18"/>
              </w:rPr>
              <w:t>-Audits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688956765"/>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über das Verfahren, die Durchführung und die Ergebnisse der internen Audits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3.2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Messung, Analyse, Verbesserung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84991644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Richtlinien zu Verfahren zur</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Erkennung von Nichtkonformitäten</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Ermittlung der Ursachen</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Korrektur von Nichtkonformitäten</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Beurteilung des Handlungsbedarfs</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Ermittlung und Realisierung von Massnahmen</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Aufzeichnung der Ergebnisse der ergriffenen Massnahmen</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Bewertung der Wirksamkeit</w:t>
            </w:r>
            <w:r>
              <w:rPr>
                <w:rFonts w:cs="Arial"/>
                <w:color w:val="000000"/>
                <w:sz w:val="18"/>
                <w:szCs w:val="18"/>
              </w:rPr>
              <w:t xml:space="preserve"> der Umsetzung von REKOLE</w:t>
            </w:r>
            <w:r>
              <w:rPr>
                <w:rFonts w:cs="Arial"/>
                <w:color w:val="000000"/>
                <w:sz w:val="18"/>
                <w:szCs w:val="18"/>
                <w:vertAlign w:val="superscript"/>
              </w:rPr>
              <w:t>®</w:t>
            </w:r>
            <w:r>
              <w:rPr>
                <w:rFonts w:cs="Arial"/>
                <w:color w:val="000000"/>
                <w:sz w:val="18"/>
                <w:szCs w:val="18"/>
              </w:rPr>
              <w:t xml:space="preserve"> und der entsprechenden Prozesse</w:t>
            </w:r>
          </w:p>
          <w:p>
            <w:pPr>
              <w:autoSpaceDE w:val="0"/>
              <w:autoSpaceDN w:val="0"/>
              <w:adjustRightInd w:val="0"/>
              <w:spacing w:line="276" w:lineRule="auto"/>
              <w:textAlignment w:val="center"/>
              <w:rPr>
                <w:rFonts w:cs="Arial"/>
                <w:color w:val="000000"/>
                <w:sz w:val="18"/>
                <w:szCs w:val="18"/>
              </w:rPr>
            </w:pPr>
            <w:r>
              <w:rPr>
                <w:rFonts w:cs="Arial"/>
                <w:color w:val="000000"/>
                <w:sz w:val="18"/>
                <w:szCs w:val="18"/>
              </w:rPr>
              <w:t>sind vorhanden, aktualisiert und legen Folgendes fest:</w:t>
            </w:r>
          </w:p>
          <w:p>
            <w:pPr>
              <w:pStyle w:val="Listenabsatz"/>
              <w:numPr>
                <w:ilvl w:val="0"/>
                <w:numId w:val="21"/>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Erkennung potenzieller Nichtkonformitäten und ihrer Ursachen</w:t>
            </w:r>
          </w:p>
          <w:p>
            <w:pPr>
              <w:pStyle w:val="Listenabsatz"/>
              <w:numPr>
                <w:ilvl w:val="0"/>
                <w:numId w:val="21"/>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Beurteilung des Handlungsbedarfs</w:t>
            </w:r>
          </w:p>
          <w:p>
            <w:pPr>
              <w:pStyle w:val="Listenabsatz"/>
              <w:numPr>
                <w:ilvl w:val="0"/>
                <w:numId w:val="21"/>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Ermittlung und Realisierung der Massnahmen</w:t>
            </w:r>
          </w:p>
          <w:p>
            <w:pPr>
              <w:pStyle w:val="Listenabsatz"/>
              <w:numPr>
                <w:ilvl w:val="0"/>
                <w:numId w:val="21"/>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Aufzeichnung von deren Ergebnissen</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Bewertung der Wirksamkeit</w:t>
            </w:r>
            <w:r>
              <w:rPr>
                <w:rFonts w:cs="Arial"/>
                <w:color w:val="000000"/>
                <w:sz w:val="18"/>
                <w:szCs w:val="18"/>
              </w:rPr>
              <w:t xml:space="preserve"> der Umsetzung von REKOLE</w:t>
            </w:r>
            <w:r>
              <w:rPr>
                <w:rFonts w:cs="Arial"/>
                <w:color w:val="000000"/>
                <w:sz w:val="18"/>
                <w:szCs w:val="18"/>
                <w:vertAlign w:val="superscript"/>
              </w:rPr>
              <w:t>®</w:t>
            </w:r>
            <w:r>
              <w:rPr>
                <w:rFonts w:cs="Arial"/>
                <w:color w:val="000000"/>
                <w:sz w:val="18"/>
                <w:szCs w:val="18"/>
              </w:rPr>
              <w:t xml:space="preserve"> und der entsprechenden Prozesse</w:t>
            </w:r>
          </w:p>
          <w:p>
            <w:pPr>
              <w:tabs>
                <w:tab w:val="left" w:pos="210"/>
              </w:tabs>
              <w:autoSpaceDE w:val="0"/>
              <w:autoSpaceDN w:val="0"/>
              <w:adjustRightInd w:val="0"/>
              <w:spacing w:line="276" w:lineRule="auto"/>
              <w:jc w:val="both"/>
              <w:textAlignment w:val="center"/>
              <w:rPr>
                <w:rFonts w:cs="Arial"/>
                <w:color w:val="000000"/>
                <w:sz w:val="18"/>
                <w:szCs w:val="18"/>
              </w:rPr>
            </w:pP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32"/>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4</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Grundbegriffe</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trPr>
          <w:trHeight w:val="154"/>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lastRenderedPageBreak/>
              <w:t>5</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Die Abgrenzungsrechnung</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5.1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Ziele der Abgrenzungsrechnung und der Abstimmungsbrücke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5.2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Detaillierungsgrad der Abgrenzungen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925240061"/>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der im Handbuch REKOLE</w:t>
            </w:r>
            <w:r>
              <w:rPr>
                <w:rFonts w:cs="Arial"/>
                <w:color w:val="000000"/>
                <w:sz w:val="18"/>
                <w:szCs w:val="18"/>
                <w:vertAlign w:val="superscript"/>
              </w:rPr>
              <w:t>®</w:t>
            </w:r>
            <w:r>
              <w:rPr>
                <w:rFonts w:cs="Arial"/>
                <w:color w:val="000000"/>
                <w:sz w:val="18"/>
                <w:szCs w:val="18"/>
              </w:rPr>
              <w:t xml:space="preserve"> definierten Grundbeziehungen 1 zu 1 und N zu 1 zwischen Erfolgskonten und Kostenarten</w:t>
            </w:r>
          </w:p>
          <w:p>
            <w:pPr>
              <w:autoSpaceDE w:val="0"/>
              <w:autoSpaceDN w:val="0"/>
              <w:adjustRightInd w:val="0"/>
              <w:spacing w:line="276" w:lineRule="auto"/>
              <w:textAlignment w:val="center"/>
              <w:rPr>
                <w:rFonts w:cs="Arial"/>
                <w:color w:val="000000"/>
                <w:sz w:val="18"/>
                <w:szCs w:val="18"/>
              </w:rPr>
            </w:pPr>
          </w:p>
          <w:p>
            <w:pPr>
              <w:autoSpaceDE w:val="0"/>
              <w:autoSpaceDN w:val="0"/>
              <w:adjustRightInd w:val="0"/>
              <w:spacing w:line="276" w:lineRule="auto"/>
              <w:textAlignment w:val="center"/>
              <w:rPr>
                <w:rFonts w:cs="Arial"/>
                <w:color w:val="000000"/>
                <w:sz w:val="18"/>
                <w:szCs w:val="18"/>
              </w:rPr>
            </w:pPr>
            <w:r>
              <w:rPr>
                <w:rFonts w:cs="Arial"/>
                <w:color w:val="005496"/>
                <w:sz w:val="18"/>
                <w:szCs w:val="18"/>
              </w:rPr>
              <w:t>Achtung: keine 1 zu N- und N zu N-Beziehungen möglich</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5.3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Detaillierungsgrad des Nachweises der Deckungsdifferenzen und deren Weiterverrechnung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5.4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Die Abstimmungsbrücke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37933014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Bereitstellen der Abstimmungsbrücke</w:t>
            </w:r>
            <w:r>
              <w:rPr>
                <w:rFonts w:cs="Arial"/>
                <w:color w:val="000000"/>
                <w:sz w:val="18"/>
                <w:szCs w:val="18"/>
              </w:rPr>
              <w:t>, welche die erforderlichen Bestandteile gemäss REKOLE</w:t>
            </w:r>
            <w:r>
              <w:rPr>
                <w:rFonts w:cs="Arial"/>
                <w:color w:val="000000"/>
                <w:sz w:val="18"/>
                <w:szCs w:val="18"/>
                <w:vertAlign w:val="superscript"/>
              </w:rPr>
              <w:t>®</w:t>
            </w:r>
            <w:r>
              <w:rPr>
                <w:rFonts w:cs="Arial"/>
                <w:color w:val="000000"/>
                <w:sz w:val="18"/>
                <w:szCs w:val="18"/>
              </w:rPr>
              <w:t>, Kapitel 5.4 beinhaltet</w:t>
            </w:r>
            <w:r>
              <w:rPr>
                <w:rFonts w:cs="Arial"/>
                <w:color w:val="000000"/>
                <w:sz w:val="18"/>
                <w:szCs w:val="18"/>
              </w:rPr>
              <w:t>; dabei müssen die Summen aus der</w:t>
            </w:r>
          </w:p>
          <w:p>
            <w:pPr>
              <w:autoSpaceDE w:val="0"/>
              <w:autoSpaceDN w:val="0"/>
              <w:adjustRightInd w:val="0"/>
              <w:spacing w:line="276" w:lineRule="auto"/>
              <w:textAlignment w:val="center"/>
              <w:rPr>
                <w:rFonts w:cs="Arial"/>
                <w:color w:val="000000"/>
                <w:sz w:val="18"/>
                <w:szCs w:val="18"/>
              </w:rPr>
            </w:pPr>
            <w:r>
              <w:rPr>
                <w:rFonts w:cs="Arial"/>
                <w:color w:val="000000"/>
                <w:sz w:val="18"/>
                <w:szCs w:val="18"/>
              </w:rPr>
              <w:t>1) Finanzbuchhaltung +/- sachliche Abgrenzungen</w:t>
            </w:r>
          </w:p>
          <w:p>
            <w:pPr>
              <w:autoSpaceDE w:val="0"/>
              <w:autoSpaceDN w:val="0"/>
              <w:adjustRightInd w:val="0"/>
              <w:spacing w:line="276" w:lineRule="auto"/>
              <w:textAlignment w:val="center"/>
              <w:rPr>
                <w:rFonts w:cs="Arial"/>
                <w:color w:val="000000"/>
                <w:sz w:val="18"/>
                <w:szCs w:val="18"/>
              </w:rPr>
            </w:pPr>
            <w:r>
              <w:rPr>
                <w:rFonts w:cs="Arial"/>
                <w:color w:val="000000"/>
                <w:sz w:val="18"/>
                <w:szCs w:val="18"/>
              </w:rPr>
              <w:t>2) Kostenrechnung</w:t>
            </w:r>
          </w:p>
          <w:p>
            <w:pPr>
              <w:autoSpaceDE w:val="0"/>
              <w:autoSpaceDN w:val="0"/>
              <w:adjustRightInd w:val="0"/>
              <w:spacing w:line="276" w:lineRule="auto"/>
              <w:textAlignment w:val="center"/>
              <w:rPr>
                <w:rFonts w:cs="Arial"/>
                <w:color w:val="000000"/>
                <w:sz w:val="18"/>
                <w:szCs w:val="18"/>
              </w:rPr>
            </w:pPr>
            <w:r>
              <w:rPr>
                <w:rFonts w:cs="Arial"/>
                <w:color w:val="000000"/>
                <w:sz w:val="18"/>
                <w:szCs w:val="18"/>
              </w:rPr>
              <w:t>3) Kostenträgerrechnung</w:t>
            </w:r>
          </w:p>
          <w:p>
            <w:pPr>
              <w:autoSpaceDE w:val="0"/>
              <w:autoSpaceDN w:val="0"/>
              <w:adjustRightInd w:val="0"/>
              <w:spacing w:line="276" w:lineRule="auto"/>
              <w:textAlignment w:val="center"/>
              <w:rPr>
                <w:rFonts w:cs="Arial"/>
                <w:color w:val="000000"/>
                <w:sz w:val="18"/>
                <w:szCs w:val="18"/>
              </w:rPr>
            </w:pPr>
            <w:r>
              <w:rPr>
                <w:rFonts w:cs="Arial"/>
                <w:color w:val="000000"/>
                <w:sz w:val="18"/>
                <w:szCs w:val="18"/>
              </w:rPr>
              <w:t>ü</w:t>
            </w:r>
            <w:r>
              <w:rPr>
                <w:rFonts w:cs="Arial"/>
                <w:color w:val="000000"/>
                <w:sz w:val="18"/>
                <w:szCs w:val="18"/>
              </w:rPr>
              <w:t>bereinstimmen</w:t>
            </w:r>
            <w:r>
              <w:rPr>
                <w:rFonts w:cs="Arial"/>
                <w:color w:val="000000"/>
                <w:sz w:val="18"/>
                <w:szCs w:val="18"/>
              </w:rPr>
              <w:t xml:space="preserve"> und die Ergebnisse der Abstimm</w:t>
            </w:r>
            <w:r>
              <w:rPr>
                <w:rFonts w:cs="Arial"/>
                <w:color w:val="000000"/>
                <w:sz w:val="18"/>
                <w:szCs w:val="18"/>
              </w:rPr>
              <w:t>ungs</w:t>
            </w:r>
            <w:r>
              <w:rPr>
                <w:rFonts w:cs="Arial"/>
                <w:color w:val="000000"/>
                <w:sz w:val="18"/>
                <w:szCs w:val="18"/>
              </w:rPr>
              <w:t>brücke müssen sowohl mit dem Finanzabschluss als auch mit dem Ergebnis der KORE (im System) abstimmbar sein.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5.5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Zeitliche Abgrenzungen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Bei Vorliegen eines revidierten Finanzabschlusses nach True and Fair View kann auf die Bereitstellung der unter Kapitel 5.5. Zeitliche Abgrenzungen verlangten Dokumentationen, Nachweise usw. verzichtet werden.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217091465"/>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Nachweis der aktiven und passiven Rechnungsabgrenzungen</w:t>
            </w:r>
            <w:r>
              <w:rPr>
                <w:rFonts w:cs="Arial"/>
                <w:color w:val="000000"/>
                <w:sz w:val="18"/>
                <w:szCs w:val="18"/>
              </w:rPr>
              <w:t xml:space="preserve"> sowie der Rückstellungen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15341443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nur die Periode betreffende Aufwände und Erträge sind in der Kostenrechnung eingeflossen.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5.6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Sachliche Abgrenzungen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63546177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In der Kostenrechnung sind als Kosten nur jene Aufwände einbezogen, die im Zusammenhang mit dem eigentlichen Betriebszweck des Unternehmens stehen. </w:t>
            </w:r>
            <w:r>
              <w:rPr>
                <w:rFonts w:cs="Arial"/>
                <w:color w:val="000000"/>
                <w:sz w:val="18"/>
                <w:szCs w:val="18"/>
              </w:rPr>
              <w:sym w:font="Wingdings" w:char="F0E0"/>
            </w:r>
            <w:r>
              <w:rPr>
                <w:rFonts w:cs="Arial"/>
                <w:color w:val="000000"/>
                <w:sz w:val="18"/>
                <w:szCs w:val="18"/>
              </w:rPr>
              <w:t xml:space="preserve"> Abstimmungsbrücke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91049045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Berücksichtigung der Anderskosten mittels anderer Bewertungssätze in der Betriebsbuchhaltung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63060717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Berücksichtigung der Zusatzkosten in der Betriebsbuchhaltung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521"/>
        </w:trPr>
        <w:sdt>
          <w:sdtPr>
            <w:rPr>
              <w:rFonts w:cs="Arial"/>
              <w:color w:val="000000"/>
              <w:sz w:val="18"/>
              <w:szCs w:val="18"/>
            </w:rPr>
            <w:id w:val="80581672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Berücksichtigung, separater Ausweis und Berechnungsbasis der kalkulatorischen Zinsen in der Betriebsbuchhaltung </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5496"/>
                <w:sz w:val="18"/>
                <w:szCs w:val="18"/>
              </w:rPr>
            </w:pPr>
            <w:r>
              <w:rPr>
                <w:rFonts w:cs="Arial"/>
                <w:color w:val="005496"/>
                <w:sz w:val="18"/>
                <w:szCs w:val="18"/>
              </w:rPr>
              <w:t>Hinweis: Die Kalkulationsbasis zur Ermittlung der kalkulatorischen Zinsen auf dem Umlaufvermögen entspricht dem Nettoumlaufvermögen und stützt sich auf</w:t>
            </w:r>
          </w:p>
          <w:p>
            <w:pPr>
              <w:pStyle w:val="Listenabsatz"/>
              <w:numPr>
                <w:ilvl w:val="0"/>
                <w:numId w:val="23"/>
              </w:numPr>
              <w:tabs>
                <w:tab w:val="left" w:pos="210"/>
              </w:tabs>
              <w:autoSpaceDE w:val="0"/>
              <w:autoSpaceDN w:val="0"/>
              <w:adjustRightInd w:val="0"/>
              <w:spacing w:line="276" w:lineRule="auto"/>
              <w:ind w:left="210" w:hanging="219"/>
              <w:jc w:val="both"/>
              <w:textAlignment w:val="center"/>
              <w:rPr>
                <w:rFonts w:cs="Arial"/>
                <w:color w:val="005496"/>
                <w:sz w:val="18"/>
                <w:szCs w:val="18"/>
              </w:rPr>
            </w:pPr>
            <w:r>
              <w:rPr>
                <w:rFonts w:cs="Arial"/>
                <w:color w:val="005496"/>
                <w:sz w:val="18"/>
                <w:szCs w:val="18"/>
              </w:rPr>
              <w:t>den durchschnittlichen, an das Vermögen gebundenen Netto-Kapitalbestand.</w:t>
            </w:r>
          </w:p>
          <w:p>
            <w:pPr>
              <w:autoSpaceDE w:val="0"/>
              <w:autoSpaceDN w:val="0"/>
              <w:adjustRightInd w:val="0"/>
              <w:spacing w:line="276" w:lineRule="auto"/>
              <w:textAlignment w:val="center"/>
              <w:rPr>
                <w:rFonts w:cs="Arial"/>
                <w:color w:val="005496"/>
                <w:sz w:val="18"/>
                <w:szCs w:val="18"/>
              </w:rPr>
            </w:pPr>
          </w:p>
          <w:p>
            <w:pPr>
              <w:pStyle w:val="tabellegt"/>
              <w:rPr>
                <w:rFonts w:ascii="Arial" w:hAnsi="Arial" w:cs="Arial"/>
                <w:color w:val="005496"/>
                <w:lang w:val="de-CH"/>
              </w:rPr>
            </w:pPr>
            <w:r>
              <w:rPr>
                <w:rFonts w:ascii="Arial" w:hAnsi="Arial" w:cs="Arial"/>
                <w:color w:val="005496"/>
                <w:lang w:val="de-CH"/>
              </w:rPr>
              <w:t xml:space="preserve">Negativzinsen, die sich auf Grund eines negativen Nettoumlaufvermögens </w:t>
            </w:r>
            <w:r>
              <w:rPr>
                <w:rFonts w:ascii="Arial" w:hAnsi="Arial" w:cs="Arial"/>
                <w:color w:val="005496"/>
                <w:lang w:val="de-CH"/>
              </w:rPr>
              <w:lastRenderedPageBreak/>
              <w:t>ergeben und sich in Form eines Erlöses auf die Kostenrechnung auswirken, werden nicht berücksichtigt.</w:t>
            </w:r>
          </w:p>
          <w:p>
            <w:pPr>
              <w:autoSpaceDE w:val="0"/>
              <w:autoSpaceDN w:val="0"/>
              <w:adjustRightInd w:val="0"/>
              <w:spacing w:line="276" w:lineRule="auto"/>
              <w:textAlignment w:val="center"/>
              <w:rPr>
                <w:rFonts w:cs="Arial"/>
                <w:color w:val="005496"/>
                <w:sz w:val="18"/>
                <w:szCs w:val="18"/>
                <w:lang w:val="de-DE"/>
              </w:rPr>
            </w:pPr>
          </w:p>
          <w:p>
            <w:pPr>
              <w:autoSpaceDE w:val="0"/>
              <w:autoSpaceDN w:val="0"/>
              <w:adjustRightInd w:val="0"/>
              <w:spacing w:line="276" w:lineRule="auto"/>
              <w:textAlignment w:val="center"/>
              <w:rPr>
                <w:rFonts w:cs="Arial"/>
                <w:color w:val="005496"/>
                <w:sz w:val="18"/>
                <w:szCs w:val="18"/>
              </w:rPr>
            </w:pPr>
            <w:r>
              <w:rPr>
                <w:rFonts w:cs="Arial"/>
                <w:color w:val="005496"/>
                <w:sz w:val="18"/>
                <w:szCs w:val="18"/>
              </w:rPr>
              <w:t>Die Kalkulationsbasis zur Ermittlung der kalkulatorischen Zinsen auf dem Anlagevermögen entspricht dem betriebsnotwendigen Anlagevermögen und stützt sich auf</w:t>
            </w:r>
          </w:p>
          <w:p>
            <w:pPr>
              <w:pStyle w:val="Listenabsatz"/>
              <w:numPr>
                <w:ilvl w:val="0"/>
                <w:numId w:val="23"/>
              </w:numPr>
              <w:tabs>
                <w:tab w:val="left" w:pos="210"/>
              </w:tabs>
              <w:autoSpaceDE w:val="0"/>
              <w:autoSpaceDN w:val="0"/>
              <w:adjustRightInd w:val="0"/>
              <w:spacing w:line="276" w:lineRule="auto"/>
              <w:ind w:left="210" w:hanging="219"/>
              <w:jc w:val="both"/>
              <w:textAlignment w:val="center"/>
              <w:rPr>
                <w:rFonts w:cs="Arial"/>
                <w:color w:val="005496"/>
                <w:sz w:val="18"/>
                <w:szCs w:val="18"/>
              </w:rPr>
            </w:pPr>
            <w:r>
              <w:rPr>
                <w:rFonts w:cs="Arial"/>
                <w:color w:val="005496"/>
                <w:sz w:val="18"/>
                <w:szCs w:val="18"/>
              </w:rPr>
              <w:t>den durchschnittlichen, an das Vermögen gebundenen Anlagebestand.</w:t>
            </w:r>
          </w:p>
          <w:p>
            <w:pPr>
              <w:tabs>
                <w:tab w:val="left" w:pos="210"/>
              </w:tabs>
              <w:autoSpaceDE w:val="0"/>
              <w:autoSpaceDN w:val="0"/>
              <w:adjustRightInd w:val="0"/>
              <w:spacing w:line="276" w:lineRule="auto"/>
              <w:jc w:val="both"/>
              <w:textAlignment w:val="center"/>
              <w:rPr>
                <w:rFonts w:cs="Arial"/>
                <w:color w:val="005496"/>
                <w:sz w:val="18"/>
                <w:szCs w:val="18"/>
              </w:rPr>
            </w:pPr>
          </w:p>
          <w:p>
            <w:pPr>
              <w:tabs>
                <w:tab w:val="left" w:pos="210"/>
              </w:tabs>
              <w:autoSpaceDE w:val="0"/>
              <w:autoSpaceDN w:val="0"/>
              <w:adjustRightInd w:val="0"/>
              <w:spacing w:line="276" w:lineRule="auto"/>
              <w:jc w:val="both"/>
              <w:textAlignment w:val="center"/>
              <w:rPr>
                <w:rFonts w:cs="Arial"/>
                <w:color w:val="005496"/>
                <w:sz w:val="18"/>
                <w:szCs w:val="18"/>
              </w:rPr>
            </w:pPr>
            <w:r>
              <w:rPr>
                <w:rFonts w:cs="Arial"/>
                <w:color w:val="005496"/>
                <w:sz w:val="18"/>
                <w:szCs w:val="18"/>
              </w:rPr>
              <w:t>Kalkulatorische Zinsen werden nicht indexiert.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398"/>
        </w:trPr>
        <w:sdt>
          <w:sdtPr>
            <w:rPr>
              <w:rFonts w:cs="Arial"/>
              <w:color w:val="000000"/>
              <w:sz w:val="18"/>
              <w:szCs w:val="18"/>
            </w:rPr>
            <w:id w:val="19381782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Berücksichtigung der indirekten Steuern und Vermögenssteuern als aufwandgleiche Kosten und keine Ertragssteuern, als Kosten in der Betriebsbuchhaltung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593"/>
        </w:trPr>
        <w:sdt>
          <w:sdtPr>
            <w:rPr>
              <w:rFonts w:cs="Arial"/>
              <w:color w:val="000000"/>
              <w:sz w:val="18"/>
              <w:szCs w:val="18"/>
            </w:rPr>
            <w:id w:val="65951230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bei Pauschalabgeltungssystemen: Die Abgrenzungen zu den angefangenen Arbeiten erfüllen die im Kapitel 5.6.6 Bewertung und Abgrenzung der angefangenen Arbeit erwähnten Kriterien.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lastRenderedPageBreak/>
              <w:t>6</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Die Kostenartenrechnung</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6.1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Grundsätze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17"/>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6.2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Aufgaben der Kostenartenbuchhaltung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6.3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Gliederung der Kostenarten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9292204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der einheitlichen Erfassung und Bewertung der Kostenarten sowie der Gliederung nach ihrer Herkunft (Primärkosten/Sekundärkosten)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6.4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Der Kostenartenrahmen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97660192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Kostenartenrahmen gemäss Gliederung REKOLE</w:t>
            </w:r>
            <w:r>
              <w:rPr>
                <w:rFonts w:cs="Arial"/>
                <w:color w:val="000000"/>
                <w:sz w:val="18"/>
                <w:szCs w:val="18"/>
                <w:vertAlign w:val="superscript"/>
              </w:rPr>
              <w:t>®</w:t>
            </w:r>
            <w:r>
              <w:rPr>
                <w:rFonts w:cs="Arial"/>
                <w:color w:val="000000"/>
                <w:sz w:val="18"/>
                <w:szCs w:val="18"/>
              </w:rPr>
              <w:t>. Wenn Kann-Kostenarten vorhanden sind, ist die Sicherstellung auf die Muss-Ebene zu gewährleisten.</w:t>
            </w:r>
          </w:p>
          <w:p>
            <w:pPr>
              <w:autoSpaceDE w:val="0"/>
              <w:autoSpaceDN w:val="0"/>
              <w:adjustRightInd w:val="0"/>
              <w:spacing w:line="276" w:lineRule="auto"/>
              <w:textAlignment w:val="center"/>
              <w:rPr>
                <w:rFonts w:cs="Arial"/>
                <w:color w:val="1F497D" w:themeColor="text2"/>
                <w:sz w:val="18"/>
                <w:szCs w:val="18"/>
              </w:rPr>
            </w:pPr>
          </w:p>
          <w:p>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Die Nummerierung der Kostenarten ist bindend.</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6.5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Gliederung nach Art der Verrechnung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61254891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vertAlign w:val="superscript"/>
              </w:rPr>
            </w:pPr>
            <w:r>
              <w:rPr>
                <w:rFonts w:cs="Arial"/>
                <w:color w:val="000000"/>
                <w:sz w:val="18"/>
                <w:szCs w:val="18"/>
              </w:rPr>
              <w:t xml:space="preserve">Überprüfung der Identifikation der Einzelkosten </w:t>
            </w:r>
            <w:r>
              <w:rPr>
                <w:rFonts w:cs="Arial"/>
                <w:color w:val="000000"/>
                <w:sz w:val="18"/>
                <w:szCs w:val="18"/>
              </w:rPr>
              <w:t xml:space="preserve">(unter Berücksichtigung der ABC-Methode) </w:t>
            </w:r>
            <w:r>
              <w:rPr>
                <w:rFonts w:cs="Arial"/>
                <w:color w:val="000000"/>
                <w:sz w:val="18"/>
                <w:szCs w:val="18"/>
              </w:rPr>
              <w:t>gemäss Handbuch REKOLE</w:t>
            </w:r>
            <w:r>
              <w:rPr>
                <w:rFonts w:cs="Arial"/>
                <w:color w:val="000000"/>
                <w:sz w:val="18"/>
                <w:szCs w:val="18"/>
                <w:vertAlign w:val="superscript"/>
              </w:rPr>
              <w:t>®</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Siehe auch Kapitel 10.9 Medikamente, Implantate, Blut, Material usw.</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50728328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Die Einsatzgüter der Kostenartengruppe 400–404 werden periodisch </w:t>
            </w:r>
            <w:r>
              <w:rPr>
                <w:rFonts w:cs="Arial"/>
                <w:color w:val="000000"/>
                <w:sz w:val="18"/>
                <w:szCs w:val="18"/>
              </w:rPr>
              <w:t xml:space="preserve">auf Ihre Verrechnung als Einzel- oder Gemeinkosten hin </w:t>
            </w:r>
            <w:r>
              <w:rPr>
                <w:rFonts w:cs="Arial"/>
                <w:color w:val="000000"/>
                <w:sz w:val="18"/>
                <w:szCs w:val="18"/>
              </w:rPr>
              <w:t>überprüft und aktualisiert.</w:t>
            </w:r>
          </w:p>
          <w:p>
            <w:pPr>
              <w:autoSpaceDE w:val="0"/>
              <w:autoSpaceDN w:val="0"/>
              <w:adjustRightInd w:val="0"/>
              <w:spacing w:line="276" w:lineRule="auto"/>
              <w:textAlignment w:val="center"/>
              <w:rPr>
                <w:rFonts w:cs="Arial"/>
                <w:color w:val="000000"/>
                <w:sz w:val="18"/>
                <w:szCs w:val="18"/>
              </w:rPr>
            </w:pPr>
          </w:p>
          <w:p>
            <w:pPr>
              <w:autoSpaceDE w:val="0"/>
              <w:autoSpaceDN w:val="0"/>
              <w:adjustRightInd w:val="0"/>
              <w:spacing w:line="276" w:lineRule="auto"/>
              <w:textAlignment w:val="center"/>
              <w:rPr>
                <w:rFonts w:cs="Arial"/>
                <w:color w:val="005496"/>
                <w:sz w:val="18"/>
                <w:szCs w:val="18"/>
              </w:rPr>
            </w:pPr>
            <w:r>
              <w:rPr>
                <w:rFonts w:cs="Arial"/>
                <w:color w:val="005496"/>
                <w:sz w:val="18"/>
                <w:szCs w:val="18"/>
              </w:rPr>
              <w:t xml:space="preserve">Für SwissDRG-Netzwerkspitäler im akutsomatischen Bereich gilt zusätzlich: </w:t>
            </w:r>
          </w:p>
          <w:p>
            <w:pPr>
              <w:autoSpaceDE w:val="0"/>
              <w:autoSpaceDN w:val="0"/>
              <w:adjustRightInd w:val="0"/>
              <w:rPr>
                <w:rFonts w:cs="Arial"/>
                <w:color w:val="005496"/>
                <w:sz w:val="18"/>
                <w:szCs w:val="18"/>
              </w:rPr>
            </w:pPr>
            <w:r>
              <w:rPr>
                <w:rFonts w:cs="Arial"/>
                <w:color w:val="005496"/>
                <w:sz w:val="18"/>
                <w:szCs w:val="18"/>
              </w:rPr>
              <w:t>Einsatzgüter, deren Gesamtkosten ([Einstandspreis des Einsatzgutes × bezogene Menge] + Gemeinkostenzuschlag) pro Fall Fr</w:t>
            </w:r>
            <w:r>
              <w:rPr>
                <w:rFonts w:cs="Arial"/>
                <w:color w:val="005496"/>
                <w:sz w:val="18"/>
                <w:szCs w:val="18"/>
              </w:rPr>
              <w:t xml:space="preserve">. </w:t>
            </w:r>
            <w:r>
              <w:rPr>
                <w:rFonts w:cs="Arial"/>
                <w:color w:val="005496"/>
                <w:sz w:val="18"/>
                <w:szCs w:val="18"/>
              </w:rPr>
              <w:t xml:space="preserve">200.-- (ausgenommen sind Implantate, inkl. Osteosynthese-Material wo die Frankengrenze bei CHF 50 liegt), </w:t>
            </w:r>
            <w:r>
              <w:rPr>
                <w:rFonts w:cs="Arial"/>
                <w:color w:val="005496"/>
                <w:sz w:val="18"/>
                <w:szCs w:val="18"/>
              </w:rPr>
              <w:t>üb</w:t>
            </w:r>
            <w:r>
              <w:rPr>
                <w:rFonts w:cs="Arial"/>
                <w:color w:val="005496"/>
                <w:sz w:val="18"/>
                <w:szCs w:val="18"/>
              </w:rPr>
              <w:t xml:space="preserve">erschreiten, sind in jedem Fall als Einzelkosten zu führen (Minimalanforderung). </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rFonts w:cs="Arial"/>
                <w:color w:val="005496"/>
                <w:sz w:val="18"/>
                <w:szCs w:val="18"/>
              </w:rPr>
              <w:t xml:space="preserve">Einsatzgüter aus den Kostenarten 400 Arzneimittel (inkl. Blut und Blutprodukte), 401 Material, Instrumente, Utensilien, Textilien oder 404 Chemikalien, Reagenzien, die innerhalb einer Behandlung separat finanziert werden, müssen als Einzelkosten verbucht werden, unabhängig ihrer Klassifikation aus der ABC-Methode. Dies betrifft hauptsächlich Einsatzgüter, die auf der von SwissDRG geführten Liste aufgeführt werden (vgl. SwissDRG, Einsatzgüterliste).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57364681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Bei Pflegestationen und OP-Sälen, wo Lager für A- und B-Einsatzgüter führen, ist sicherzustellen, dass diese keinen Einfluss haben auf die Bildung der Kostensätze der Muss-Kostenstellen.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204786370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der Verrechnung der verursachungsgerechten Personalkosten, Anlagenutzungskosten und übrigen Sachkosten auf die Kostenstellen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6.6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Kontierungsrichtlinien für die Gemeinkosten- und Erlösarten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22726053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der betriebsspezifischen, aktualisierten </w:t>
            </w:r>
            <w:r>
              <w:rPr>
                <w:rFonts w:cs="Arial"/>
                <w:color w:val="000000"/>
                <w:sz w:val="18"/>
                <w:szCs w:val="18"/>
              </w:rPr>
              <w:t>Kontierungsrichtlinien (z.B. in Form einer Kontierungsmatrix)</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12696" w:type="dxa"/>
        <w:tblInd w:w="108" w:type="dxa"/>
        <w:tblLayout w:type="fixed"/>
        <w:tblCellMar>
          <w:left w:w="0" w:type="dxa"/>
          <w:right w:w="0" w:type="dxa"/>
        </w:tblCellMar>
        <w:tblLook w:val="0000" w:firstRow="0" w:lastRow="0" w:firstColumn="0" w:lastColumn="0" w:noHBand="0" w:noVBand="0"/>
      </w:tblPr>
      <w:tblGrid>
        <w:gridCol w:w="675"/>
        <w:gridCol w:w="6401"/>
        <w:gridCol w:w="2810"/>
        <w:gridCol w:w="2810"/>
      </w:tblGrid>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lastRenderedPageBreak/>
              <w:t>7</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Die Anlagenbuchhaltung</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Bilanzielle und kalkulatorische Abschreibungen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Definitionen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27021788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der Anlagen in der Anlagenbuchhaltung nach den im Handbuch </w:t>
            </w:r>
            <w:r>
              <w:rPr>
                <w:rFonts w:cs="Arial"/>
                <w:color w:val="000000"/>
                <w:sz w:val="18"/>
                <w:szCs w:val="18"/>
              </w:rPr>
              <w:br/>
              <w:t>REKOLE</w:t>
            </w:r>
            <w:r>
              <w:rPr>
                <w:rFonts w:cs="Arial"/>
                <w:color w:val="000000"/>
                <w:sz w:val="18"/>
                <w:szCs w:val="18"/>
                <w:vertAlign w:val="superscript"/>
              </w:rPr>
              <w:t>®</w:t>
            </w:r>
            <w:r>
              <w:rPr>
                <w:rFonts w:cs="Arial"/>
                <w:color w:val="000000"/>
                <w:sz w:val="18"/>
                <w:szCs w:val="18"/>
              </w:rPr>
              <w:t xml:space="preserve"> definierten Kriterien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2079589311"/>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Vorliegen der Abschreibungstabelle beinhaltend im Minimum:</w:t>
            </w:r>
          </w:p>
          <w:p>
            <w:pPr>
              <w:pStyle w:val="Listenabsatz"/>
              <w:numPr>
                <w:ilvl w:val="0"/>
                <w:numId w:val="22"/>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Die Abschreibungsmethode (linear)</w:t>
            </w:r>
          </w:p>
          <w:p>
            <w:pPr>
              <w:pStyle w:val="Listenabsatz"/>
              <w:numPr>
                <w:ilvl w:val="0"/>
                <w:numId w:val="22"/>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Die Abschreibungssätze</w:t>
            </w:r>
          </w:p>
          <w:p>
            <w:pPr>
              <w:pStyle w:val="Listenabsatz"/>
              <w:numPr>
                <w:ilvl w:val="0"/>
                <w:numId w:val="22"/>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Der Abschreibungsbetrag</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Die kalkulatorischen Abschreibungen werden mittels der normativen durchschnittlichen wirtschaftlichen Nutzungsdauer ermittelt und fallen linear an, solange eine Anlage genutzt wird (im Sinne von betriebsnotwendig [REK 10_015]). Es gibt keine bilanzmässigen Sonderabschreibungen oder bilanzmässigen a.o. Abschreibungen.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c>
          <w:tcPr>
            <w:tcW w:w="2810" w:type="dxa"/>
          </w:tcPr>
          <w:p/>
        </w:tc>
      </w:tr>
      <w:tr>
        <w:trPr>
          <w:gridAfter w:val="1"/>
          <w:wAfter w:w="2810" w:type="dxa"/>
          <w:trHeight w:val="60"/>
        </w:trPr>
        <w:sdt>
          <w:sdtPr>
            <w:rPr>
              <w:rFonts w:cs="Arial"/>
              <w:color w:val="000000"/>
              <w:sz w:val="18"/>
              <w:szCs w:val="18"/>
            </w:rPr>
            <w:id w:val="145807148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Wenn Leasingobjekte vorhanden: Überprüfung, ob Anforderungen an das operative und finanzielle Leasing mit den Vorgaben übereinstimmen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29359361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Anlagen werden</w:t>
            </w:r>
            <w:r>
              <w:rPr>
                <w:rFonts w:cs="Arial"/>
                <w:color w:val="000000"/>
                <w:sz w:val="18"/>
                <w:szCs w:val="18"/>
              </w:rPr>
              <w:t xml:space="preserve"> mindestens</w:t>
            </w:r>
            <w:r>
              <w:rPr>
                <w:rFonts w:cs="Arial"/>
                <w:color w:val="000000"/>
                <w:sz w:val="18"/>
                <w:szCs w:val="18"/>
              </w:rPr>
              <w:t xml:space="preserve"> ab dem Ersten des Monats der Inbetriebnahme der Anlage abgeschrieben. Bei gestaffelter Inbetriebnahme wird gestaffelt abgeschrieben.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Anlagenabgrenzung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467448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Anlagen, die aus mehreren Teilen bestehen, sind nur dann als einzelne Anlage in der Anlagenbuchhaltung aufgenommen, wenn die Anlageteile nur gemeinsam genutzt und in der Regel nur gemeinsam ersetzt werden können.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79097323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Investitionen in bestehende Sachanlagen, die den Markt- oder den Nutzwert nachhaltig erhöhen oder die Lebensdauer wesentlich verlängern, werden in der Anlagenbuchhaltung als eigenständige Anlagen geführt und separat abgeschrieben.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Stammdatensatz pro Anlage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51734648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Stammdatensatz entspricht den Minimalanforderungen gemäss </w:t>
            </w:r>
            <w:r>
              <w:rPr>
                <w:rFonts w:cs="Arial"/>
                <w:color w:val="000000"/>
                <w:sz w:val="18"/>
                <w:szCs w:val="18"/>
              </w:rPr>
              <w:br/>
              <w:t>REKOLE</w:t>
            </w:r>
            <w:r>
              <w:rPr>
                <w:rFonts w:cs="Arial"/>
                <w:color w:val="000000"/>
                <w:sz w:val="18"/>
                <w:szCs w:val="18"/>
                <w:vertAlign w:val="superscript"/>
              </w:rPr>
              <w:t>®</w:t>
            </w:r>
            <w:r>
              <w:rPr>
                <w:rFonts w:cs="Arial"/>
                <w:color w:val="000000"/>
                <w:sz w:val="18"/>
                <w:szCs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Anlagekategorien und Ermittlung der Abschreibungsbasen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20772051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Anlagen sind in die von REKOLE</w:t>
            </w:r>
            <w:r>
              <w:rPr>
                <w:rFonts w:cs="Arial"/>
                <w:color w:val="000000"/>
                <w:sz w:val="18"/>
                <w:szCs w:val="18"/>
                <w:vertAlign w:val="superscript"/>
              </w:rPr>
              <w:t>®</w:t>
            </w:r>
            <w:r>
              <w:rPr>
                <w:rFonts w:cs="Arial"/>
                <w:color w:val="000000"/>
                <w:sz w:val="18"/>
                <w:szCs w:val="18"/>
              </w:rPr>
              <w:t xml:space="preserve"> vorgesehenen Anlagekategorien gegliedert.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0878292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Keine Anlagen unter dem VKL-Wert in der Anlagekategorie berücksichtigt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288121611"/>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Aus der Abschreibungstabelle ist die Abschreibungsbasis für die kalkulatorischen Abschreibungen gemäss den im Handbuch REKOLE</w:t>
            </w:r>
            <w:r>
              <w:rPr>
                <w:rFonts w:cs="Arial"/>
                <w:color w:val="000000"/>
                <w:sz w:val="18"/>
                <w:szCs w:val="18"/>
                <w:vertAlign w:val="superscript"/>
              </w:rPr>
              <w:t>®</w:t>
            </w:r>
            <w:r>
              <w:rPr>
                <w:rFonts w:cs="Arial"/>
                <w:color w:val="000000"/>
                <w:sz w:val="18"/>
                <w:szCs w:val="18"/>
              </w:rPr>
              <w:t xml:space="preserve"> definierten Grundsätzen je Anlagekategorie ersichtlich und umgesetzt.</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Der Nachweis der kalkulatorischen Abschreibungen für Anlagen der Anlagekategorie A1 – An, C1 und C2 muss zwingend nach REKOLE</w:t>
            </w:r>
            <w:r>
              <w:rPr>
                <w:rFonts w:cs="Arial"/>
                <w:caps/>
                <w:color w:val="005496"/>
                <w:sz w:val="18"/>
                <w:szCs w:val="18"/>
                <w:vertAlign w:val="superscript"/>
              </w:rPr>
              <w:t>®</w:t>
            </w:r>
            <w:r>
              <w:rPr>
                <w:rFonts w:cs="Arial"/>
                <w:color w:val="005496"/>
                <w:sz w:val="18"/>
                <w:szCs w:val="18"/>
              </w:rPr>
              <w:t xml:space="preserve"> und VKL vorhanden sein.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lastRenderedPageBreak/>
              <w:t>7.6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Ermittlung der Abschreibungsbasen für die kalkulatorischen Abschreibungen (Zusammenfassung)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Ermittlung der kalkulatorischen Zinsen auf dem Anlagevermögen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Cs/>
                <w:color w:val="000000"/>
                <w:sz w:val="18"/>
                <w:szCs w:val="18"/>
              </w:rPr>
            </w:pPr>
            <w:r>
              <w:rPr>
                <w:rFonts w:cs="Arial"/>
                <w:bCs/>
                <w:color w:val="000000"/>
                <w:sz w:val="18"/>
                <w:szCs w:val="18"/>
              </w:rPr>
              <w:t>Siehe Kapitel 5 ff.</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VKL-relevante Anlagenutzungskosten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Ermittlung der stationären OKP-relevanten Anlagenutzungskosten (ANK), als Teil der OKP-relevanten Kosten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Einbezug der Anlagenutzungskosten in die Relativgewichte (SwissDRG Grouper)</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lastRenderedPageBreak/>
              <w:t>8</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Die Kostenstellenrechnung</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Definitionen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Grundsätze der Kostenstellenstruktur</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Verdichtungsmöglichkeiten der Kann-Kostenstellen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Der Kostenstellenrahmen H+ als Muss-Ebene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22551588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vertAlign w:val="superscript"/>
              </w:rPr>
            </w:pPr>
            <w:r>
              <w:rPr>
                <w:rFonts w:cs="Arial"/>
                <w:color w:val="000000"/>
                <w:sz w:val="18"/>
                <w:szCs w:val="18"/>
              </w:rPr>
              <w:t>Überprüfung der minimalen Kostenstellengliederung gemäss REKOLE</w:t>
            </w:r>
            <w:r>
              <w:rPr>
                <w:rFonts w:cs="Arial"/>
                <w:color w:val="000000"/>
                <w:sz w:val="18"/>
                <w:szCs w:val="18"/>
                <w:vertAlign w:val="superscript"/>
              </w:rPr>
              <w:t>®</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Von der Muss-Kostenstellenstruktur gemäss REKOLE</w:t>
            </w:r>
            <w:r>
              <w:rPr>
                <w:rFonts w:cs="Arial"/>
                <w:color w:val="005496"/>
                <w:sz w:val="18"/>
                <w:szCs w:val="18"/>
                <w:vertAlign w:val="superscript"/>
              </w:rPr>
              <w:t>®</w:t>
            </w:r>
            <w:r>
              <w:rPr>
                <w:rFonts w:cs="Arial"/>
                <w:color w:val="005496"/>
                <w:sz w:val="18"/>
                <w:szCs w:val="18"/>
              </w:rPr>
              <w:t xml:space="preserve"> darf nur abgewichen werden, wenn der beschriebene Inhalt der Muss-Kostenstellengruppe betrieblich nicht vorhanden ist (z. B. OP-Saal in einer psychiatrischen Klinik) bzw. die in dieser Muss-Kostenstelle umschriebene Leistung nicht erbracht wird (REK 05_021)</w:t>
            </w:r>
            <w:r>
              <w:rPr>
                <w:rFonts w:cs="Arial"/>
                <w:color w:val="000000"/>
                <w:sz w:val="18"/>
                <w:szCs w:val="18"/>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Die Kostenstruktur einer Kostenstelle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76719639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der minimalen Kostenstellenstruktur gemäss REKOLE</w:t>
            </w:r>
            <w:r>
              <w:rPr>
                <w:rFonts w:cs="Arial"/>
                <w:color w:val="000000"/>
                <w:sz w:val="18"/>
                <w:szCs w:val="18"/>
                <w:vertAlign w:val="superscript"/>
              </w:rPr>
              <w:t>®</w:t>
            </w:r>
            <w:r>
              <w:rPr>
                <w:rFonts w:cs="Arial"/>
                <w:color w:val="000000"/>
                <w:sz w:val="18"/>
                <w:szCs w:val="18"/>
              </w:rPr>
              <w:t xml:space="preserve"> (direkte, indirekte Kostenstellenkosten, Sekundärkosten)</w:t>
            </w:r>
          </w:p>
          <w:p>
            <w:pPr>
              <w:autoSpaceDE w:val="0"/>
              <w:autoSpaceDN w:val="0"/>
              <w:adjustRightInd w:val="0"/>
              <w:spacing w:line="276" w:lineRule="auto"/>
              <w:textAlignment w:val="center"/>
              <w:rPr>
                <w:rFonts w:cs="Arial"/>
                <w:color w:val="000000"/>
                <w:sz w:val="18"/>
                <w:szCs w:val="18"/>
              </w:rPr>
            </w:pPr>
          </w:p>
          <w:p>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Personalvergünstigungen sind mindestens periodisch ermittelt und die Differenz zum Marktpreis wird verursachergerecht den entsprechenden Kostenstellen belastet.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26056665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der innerbetrieblichen Leistungen hinsichtlich</w:t>
            </w:r>
            <w:r>
              <w:rPr>
                <w:rFonts w:cs="Arial"/>
                <w:color w:val="000000"/>
                <w:sz w:val="18"/>
                <w:szCs w:val="18"/>
              </w:rPr>
              <w:t xml:space="preserve"> </w:t>
            </w:r>
            <w:r>
              <w:rPr>
                <w:rFonts w:cs="Arial"/>
                <w:color w:val="000000"/>
                <w:sz w:val="18"/>
                <w:szCs w:val="18"/>
              </w:rPr>
              <w:t>verursachergerechter Verteilung auf die hergestellten und verkauften Dienstleistungen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Inhalt und Form der Muss-Kostenstellen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83352353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Dokumentation der Inhalte der Muss-Kostenstellen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32424398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Sicherstellung der Verdichtung der Kann-Kostenstellen auf die Muss-Kostenstellen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77777947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Korrekte Zuordnung der Kosten auf die jeweiligen Kostenblöcke (</w:t>
            </w:r>
            <w:r>
              <w:rPr>
                <w:rFonts w:cs="Arial"/>
                <w:color w:val="000000"/>
                <w:sz w:val="18"/>
                <w:szCs w:val="18"/>
              </w:rPr>
              <w:sym w:font="Wingdings" w:char="F0E0"/>
            </w:r>
            <w:r>
              <w:rPr>
                <w:rFonts w:cs="Arial"/>
                <w:color w:val="000000"/>
                <w:sz w:val="18"/>
                <w:szCs w:val="18"/>
              </w:rPr>
              <w:t xml:space="preserve"> separater Ausweis der Anlagenutzungskosten)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07358522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Leistungen sind den korrekten Leistungsblöcken zugeteilt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81559472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Verrechnung der Kosten und Leistungen entsprechen mindestens der Minimalvariante gemäss REKOLE</w:t>
            </w:r>
            <w:r>
              <w:rPr>
                <w:rFonts w:cs="Arial"/>
                <w:color w:val="000000"/>
                <w:sz w:val="18"/>
                <w:szCs w:val="18"/>
                <w:vertAlign w:val="superscript"/>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53662642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Bezugsgrössen und Leistungsmengen sind aktualisiert und korrekt im System hinterlegt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26577339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Kostensatzabrechnung wird korrekt mindestens gemäss der Minimalvariante angewendet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759869175"/>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Empfänger der Verrechnung stimmen mit den Minimalvorgaben der Muss-Kostenstellen überein.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191"/>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lastRenderedPageBreak/>
              <w:t>8.7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Eigenständige Betriebe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42743458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Wenn die Institution eigenständige Betriebe führt: </w:t>
            </w:r>
            <w:r>
              <w:rPr>
                <w:rFonts w:cs="Arial"/>
                <w:color w:val="000000"/>
                <w:sz w:val="18"/>
                <w:szCs w:val="18"/>
              </w:rPr>
              <w:br/>
              <w:t>Überprüfung: Diese definierten Leistungsbereiche werden in der Kostenrechnung als eigenständige Betriebe geführt.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Zusammenfassung der Verrechnungsmethodik</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7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Handhabung der Deckungsdifferenzen der Kostenstellen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22071123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Sofern das Spital eine Normalkostenrechnung führt: Die Deckungsdifferenzen werden mindestens pro Kostenstelle ermittelt.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Der Kostenstellenausweis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75802487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Der Kostenstellenausweis enthält mindestens die im Handbuch </w:t>
            </w:r>
            <w:r>
              <w:rPr>
                <w:rFonts w:cs="Arial"/>
                <w:color w:val="000000"/>
                <w:sz w:val="18"/>
                <w:szCs w:val="18"/>
              </w:rPr>
              <w:br/>
              <w:t>REKOLE</w:t>
            </w:r>
            <w:r>
              <w:rPr>
                <w:rFonts w:cs="Arial"/>
                <w:color w:val="000000"/>
                <w:sz w:val="18"/>
                <w:szCs w:val="18"/>
                <w:vertAlign w:val="superscript"/>
              </w:rPr>
              <w:t>®</w:t>
            </w:r>
            <w:r>
              <w:rPr>
                <w:rFonts w:cs="Arial"/>
                <w:color w:val="000000"/>
                <w:sz w:val="18"/>
                <w:szCs w:val="18"/>
              </w:rPr>
              <w:t xml:space="preserve"> geforderten Elemente.</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5496"/>
                <w:sz w:val="18"/>
                <w:szCs w:val="18"/>
              </w:rPr>
            </w:pPr>
            <w:r>
              <w:rPr>
                <w:rFonts w:cs="Arial"/>
                <w:color w:val="005496"/>
                <w:sz w:val="18"/>
                <w:szCs w:val="18"/>
              </w:rPr>
              <w:t>Hinweis: Bestehen die Muss-Kostenstellen aus einer Aggregation bzw. Verdichtung von Kann-Kostenstellen mit unterschiedlichen Bezugsgrössen, so sind im Kostenstellen- und Kostenträgerausweis die entsprechenden Felder «Kostensatz» und «Menge» leer zu lassen (REK 10_011).</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rFonts w:cs="Arial"/>
                <w:color w:val="005496"/>
                <w:sz w:val="18"/>
                <w:szCs w:val="18"/>
              </w:rPr>
              <w:t>Die Informationen können auch aus mehreren Quellen zusammengetragen werden.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63763648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ascii="MS Gothic" w:eastAsia="MS Gothic" w:hAnsi="MS Gothic"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Das Bruttoprinzip auf KST-Basis (dienstleistende und leistungserbringende KST) wird eingehalten. </w:t>
            </w:r>
          </w:p>
          <w:p>
            <w:pPr>
              <w:autoSpaceDE w:val="0"/>
              <w:autoSpaceDN w:val="0"/>
              <w:adjustRightInd w:val="0"/>
              <w:spacing w:line="276" w:lineRule="auto"/>
              <w:textAlignment w:val="center"/>
              <w:rPr>
                <w:rFonts w:eastAsia="TheMix-HP3Lig" w:cs="Arial"/>
                <w:sz w:val="18"/>
                <w:szCs w:val="18"/>
              </w:rPr>
            </w:pPr>
          </w:p>
          <w:p>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Das Bruttoprinz</w:t>
            </w:r>
            <w:r>
              <w:rPr>
                <w:rFonts w:cs="Arial"/>
                <w:color w:val="005496"/>
                <w:sz w:val="18"/>
                <w:szCs w:val="18"/>
              </w:rPr>
              <w:t xml:space="preserve">ip ist eingehalten, wenn keine </w:t>
            </w:r>
            <w:r>
              <w:rPr>
                <w:rFonts w:cs="Arial"/>
                <w:color w:val="005496"/>
                <w:sz w:val="18"/>
                <w:szCs w:val="18"/>
              </w:rPr>
              <w:t>Ertragsbuchungen aus Margengeschäften auf KST-Basis erfolgen. Ausgenommen davon sind die Nebenbetriebe und als KST geführte Aufträge.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lastRenderedPageBreak/>
              <w:t>9</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Die Kostenträgerrechnung</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Fallabhängige Leistungsgruppe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17841931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fallabhängigen Leistungen (einzelne Bewertung jedes einzelnen administrativen Falls) werden allesamt mit einem Behandlungsbeginn und einem Behandlungsende einer Leistungsgruppe zugeordnet.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Fallunabhängige Leistungsgruppe (FUL)</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767684215"/>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fallunabhängigen Leistungen werden allesamt einer Leistungsgruppe zugeordnet.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Der administrative Fall</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38771066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Der administrative Fall ist die kleinste bebuchbare Einheit.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24"/>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Aufgaben des administrativen Falls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Abgrenzung des administrativen Falls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3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Beziehungen zwischen den Fallarten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Regelwerk des administrativen Falls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37858536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angewendete Falldefinition entspricht dem Regelwerk des administrativen Falls, insbesondere</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entsprechen Behandlungsbeginn und Behandlungsende im stationären Bereich dem physischen Ein- und Austritt</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wird für Neugeborene (bis 1. Monat) und Säuglinge (ab 1. Monat bis 1. Jahr) – gesund oder krank – ein separater Fall eröffnet</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 xml:space="preserve">entsprechen Behandlungsbeginn und Behandlungsende im ambulanten Bereich </w:t>
            </w:r>
            <w:r>
              <w:rPr>
                <w:rFonts w:cs="Arial"/>
                <w:color w:val="000000"/>
                <w:sz w:val="18"/>
                <w:szCs w:val="18"/>
              </w:rPr>
              <w:t xml:space="preserve">(inkl. telefonische Beratungen) </w:t>
            </w:r>
            <w:r>
              <w:rPr>
                <w:rFonts w:cs="Arial"/>
                <w:color w:val="000000"/>
                <w:sz w:val="18"/>
                <w:szCs w:val="18"/>
              </w:rPr>
              <w:t>den Vorgaben gemäss REKOLE</w:t>
            </w:r>
            <w:r>
              <w:rPr>
                <w:rFonts w:cs="Arial"/>
                <w:color w:val="000000"/>
                <w:sz w:val="18"/>
                <w:szCs w:val="18"/>
                <w:vertAlign w:val="superscript"/>
              </w:rPr>
              <w:t>®</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ist sichergestellt, dass ein Wechsel der Versicherungsart während eines Spitalaufenthalts nicht zu einem neuen administrativen Fall führt</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ist sichergestellt, dass eine interne Verlegung aus organisatorischen oder aus diagnosebezogenen Gründen in eine andere Abteilung nicht zu einem neuen administrativen Fall führt</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ist sichergestellt, dass am Ende des Betriebsjahres keine noch nicht abgeschlossenen Fälle geschlossen und anfangs Jahr neu eröffnet werden</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werden bei einem Wiedereintritt wegen Verlegung innert 24 Stunden ohne Bettenbelegung um Mitternacht im Verlegungsspital (Rehabilitationskliniken</w:t>
            </w:r>
            <w:r>
              <w:rPr>
                <w:rFonts w:cs="Arial"/>
                <w:color w:val="000000"/>
                <w:sz w:val="18"/>
                <w:szCs w:val="18"/>
              </w:rPr>
              <w:t xml:space="preserve"> </w:t>
            </w:r>
            <w:r>
              <w:rPr>
                <w:rFonts w:cs="Arial"/>
                <w:color w:val="000000"/>
                <w:sz w:val="18"/>
                <w:szCs w:val="18"/>
              </w:rPr>
              <w:t>innert 14 Tagen) die Leistungen, Kosten und Erlöse auf dem gleichen administrativen Fall weitergeführt</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sz w:val="18"/>
                <w:szCs w:val="18"/>
              </w:rPr>
            </w:pPr>
            <w:r>
              <w:rPr>
                <w:rFonts w:cs="Arial"/>
                <w:color w:val="000000"/>
                <w:sz w:val="18"/>
                <w:szCs w:val="18"/>
              </w:rPr>
              <w:t xml:space="preserve">wird ein neuer administrativer Fall eröffnet, wenn der Patient erst nach 24 Stunden oder innert 24 Stunden mit Bettenbelegung um Mitternacht im Verlegungsspital (Rehabilitationskliniken </w:t>
            </w:r>
            <w:r>
              <w:rPr>
                <w:rFonts w:cs="Arial"/>
                <w:sz w:val="18"/>
                <w:szCs w:val="18"/>
              </w:rPr>
              <w:t>innert 14 Tagen) zurückkehrt</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wird ein neuer administrativer Fall eröffnet, wenn der Patient rehospitalisiert wird, nachdem er das Spital verlassen hat</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ist sichergestellt, dass für einen sich in Urlaub befindenden Patienten kein neuer administrativer Fall eröffnet wird</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wird für Patienten ein neuer administrativer Fall eröffnet, wenn die Akutbedürftigkeit eines Patienten nicht mehr gegeben ist und er beispielsweise in eine Langzeitabteilung oder ein Pflegeheim verlegt wird</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lastRenderedPageBreak/>
              <w:t>9.8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Kostenträgerausweis des administrativen Falls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43794987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Der Kostenträgerausweis enthält mindestens die im Handbuch </w:t>
            </w:r>
            <w:r>
              <w:rPr>
                <w:rFonts w:cs="Arial"/>
                <w:color w:val="000000"/>
                <w:sz w:val="18"/>
                <w:szCs w:val="18"/>
              </w:rPr>
              <w:br/>
              <w:t>REKOLE</w:t>
            </w:r>
            <w:r>
              <w:rPr>
                <w:rFonts w:cs="Arial"/>
                <w:color w:val="000000"/>
                <w:sz w:val="18"/>
                <w:szCs w:val="18"/>
                <w:vertAlign w:val="superscript"/>
              </w:rPr>
              <w:t>®</w:t>
            </w:r>
            <w:r>
              <w:rPr>
                <w:rFonts w:cs="Arial"/>
                <w:color w:val="000000"/>
                <w:sz w:val="18"/>
                <w:szCs w:val="18"/>
              </w:rPr>
              <w:t xml:space="preserve"> geforderten Elemente.</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5496"/>
                <w:sz w:val="18"/>
                <w:szCs w:val="18"/>
              </w:rPr>
            </w:pPr>
            <w:r>
              <w:rPr>
                <w:rFonts w:cs="Arial"/>
                <w:color w:val="005496"/>
                <w:sz w:val="18"/>
                <w:szCs w:val="18"/>
              </w:rPr>
              <w:t>Hinweis: Entspricht der administrative Fall nicht dem tarifarischen Fall und werden zwei oder mehrere administrative Fälle verdichtet, um den tarifarischen Fall zu bilden, so werden den administrativen Urfällen (administrative Fälle vor Verdichtung) keine Erlöse verrechnet. Die kalkulatorische Verrechnung von Erlösen auf administrativen Urfällen ist ein betriebsinterner Führungsentscheid (REK 11_005).</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5496"/>
                <w:sz w:val="18"/>
                <w:szCs w:val="18"/>
              </w:rPr>
            </w:pPr>
            <w:r>
              <w:rPr>
                <w:rFonts w:cs="Arial"/>
                <w:color w:val="005496"/>
                <w:sz w:val="18"/>
                <w:szCs w:val="18"/>
              </w:rPr>
              <w:t>Bestehen die Muss-Kostenstellen aus einer Aggregation bzw. Verdichtung von Kann-Kostenstellen mit unterschiedlichen Bezugsgrössen, so sind im Kostenstellen- und Kostenträgerausweis die entsprechenden Felder «Kostensatz» und «Menge» nicht ausfüllbar und sind daher leer zu lassen (REK 10_011).</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rFonts w:cs="Arial"/>
                <w:color w:val="005496"/>
                <w:sz w:val="18"/>
                <w:szCs w:val="18"/>
              </w:rPr>
              <w:t>Die Informationen können auch aus mehreren Quellen zusammengetragen werden.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Tarifarischer Fall</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Der Auftrag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8598227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Der Auftrag ist nebst </w:t>
            </w:r>
            <w:r>
              <w:rPr>
                <w:rFonts w:cs="Arial"/>
                <w:color w:val="000000"/>
                <w:sz w:val="18"/>
                <w:szCs w:val="18"/>
              </w:rPr>
              <w:t>dem administrativen Fall</w:t>
            </w:r>
            <w:r>
              <w:rPr>
                <w:rFonts w:cs="Arial"/>
                <w:color w:val="000000"/>
                <w:sz w:val="18"/>
                <w:szCs w:val="18"/>
              </w:rPr>
              <w:t xml:space="preserve"> die kleinste bebuchbare Einheit.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85602725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color w:val="000000"/>
                <w:sz w:val="18"/>
                <w:szCs w:val="18"/>
              </w:rPr>
            </w:pPr>
            <w:r>
              <w:rPr>
                <w:rFonts w:cs="Arial"/>
                <w:color w:val="000000"/>
                <w:sz w:val="18"/>
                <w:szCs w:val="18"/>
              </w:rPr>
              <w:t xml:space="preserve">Überprüfung: Der Auftrag ist inhaltlich und zeitlich klar abgegrenzt. </w:t>
            </w:r>
          </w:p>
          <w:p>
            <w:pPr>
              <w:autoSpaceDE w:val="0"/>
              <w:autoSpaceDN w:val="0"/>
              <w:adjustRightInd w:val="0"/>
              <w:spacing w:line="276" w:lineRule="auto"/>
              <w:rPr>
                <w:rFonts w:cs="Arial"/>
                <w:color w:val="000000"/>
                <w:sz w:val="18"/>
                <w:szCs w:val="18"/>
              </w:rPr>
            </w:pPr>
          </w:p>
          <w:p>
            <w:pPr>
              <w:autoSpaceDE w:val="0"/>
              <w:autoSpaceDN w:val="0"/>
              <w:adjustRightInd w:val="0"/>
              <w:spacing w:line="276" w:lineRule="auto"/>
              <w:rPr>
                <w:rFonts w:cs="Arial"/>
                <w:color w:val="005496"/>
                <w:sz w:val="18"/>
                <w:szCs w:val="18"/>
              </w:rPr>
            </w:pPr>
            <w:r>
              <w:rPr>
                <w:rFonts w:cs="Arial"/>
                <w:color w:val="005496"/>
                <w:sz w:val="18"/>
                <w:szCs w:val="18"/>
              </w:rPr>
              <w:t xml:space="preserve">Hinweis: Universitätsspitäler und </w:t>
            </w:r>
            <w:r>
              <w:rPr>
                <w:rFonts w:cs="Arial"/>
                <w:color w:val="005496"/>
                <w:sz w:val="18"/>
                <w:szCs w:val="18"/>
              </w:rPr>
              <w:t>Spitäler</w:t>
            </w:r>
            <w:r>
              <w:rPr>
                <w:rFonts w:cs="Arial"/>
                <w:color w:val="005496"/>
                <w:sz w:val="18"/>
                <w:szCs w:val="18"/>
              </w:rPr>
              <w:t xml:space="preserve"> </w:t>
            </w:r>
            <w:r>
              <w:rPr>
                <w:rFonts w:cs="Arial"/>
                <w:color w:val="005496"/>
                <w:sz w:val="18"/>
                <w:szCs w:val="18"/>
              </w:rPr>
              <w:t>mit universitären Aufträgen und/oder Forschungsaufträgen von Dritten müssen</w:t>
            </w:r>
            <w:r>
              <w:rPr>
                <w:rFonts w:cs="Arial"/>
                <w:color w:val="005496"/>
                <w:sz w:val="18"/>
                <w:szCs w:val="18"/>
              </w:rPr>
              <w:t xml:space="preserve"> </w:t>
            </w:r>
            <w:r>
              <w:rPr>
                <w:rFonts w:cs="Arial"/>
                <w:color w:val="005496"/>
                <w:sz w:val="18"/>
                <w:szCs w:val="18"/>
              </w:rPr>
              <w:t xml:space="preserve">mindestens folgende Aufträge für die Aktivitäten der </w:t>
            </w:r>
            <w:r>
              <w:rPr>
                <w:rFonts w:cs="Arial"/>
                <w:color w:val="005496"/>
                <w:sz w:val="18"/>
                <w:szCs w:val="18"/>
              </w:rPr>
              <w:t xml:space="preserve">Forschung und </w:t>
            </w:r>
            <w:r>
              <w:rPr>
                <w:rFonts w:cs="Arial"/>
                <w:color w:val="005496"/>
                <w:sz w:val="18"/>
                <w:szCs w:val="18"/>
              </w:rPr>
              <w:t>universitären Lehre führen:</w:t>
            </w:r>
          </w:p>
          <w:p>
            <w:pPr>
              <w:pStyle w:val="Listenabsatz"/>
              <w:numPr>
                <w:ilvl w:val="0"/>
                <w:numId w:val="31"/>
              </w:numPr>
              <w:tabs>
                <w:tab w:val="left" w:pos="210"/>
              </w:tabs>
              <w:autoSpaceDE w:val="0"/>
              <w:autoSpaceDN w:val="0"/>
              <w:adjustRightInd w:val="0"/>
              <w:spacing w:line="276" w:lineRule="auto"/>
              <w:ind w:left="210" w:hanging="219"/>
              <w:rPr>
                <w:rFonts w:cs="Arial"/>
                <w:color w:val="005496"/>
                <w:sz w:val="18"/>
                <w:szCs w:val="18"/>
              </w:rPr>
            </w:pPr>
            <w:r>
              <w:rPr>
                <w:rFonts w:cs="Arial"/>
                <w:color w:val="005496"/>
                <w:sz w:val="18"/>
                <w:szCs w:val="18"/>
              </w:rPr>
              <w:t>Erteilte und erhaltene u</w:t>
            </w:r>
            <w:r>
              <w:rPr>
                <w:rFonts w:cs="Arial"/>
                <w:color w:val="005496"/>
                <w:sz w:val="18"/>
                <w:szCs w:val="18"/>
              </w:rPr>
              <w:t xml:space="preserve">niversitäre Ausbildung </w:t>
            </w:r>
          </w:p>
          <w:p>
            <w:pPr>
              <w:pStyle w:val="Listenabsatz"/>
              <w:numPr>
                <w:ilvl w:val="0"/>
                <w:numId w:val="31"/>
              </w:numPr>
              <w:tabs>
                <w:tab w:val="left" w:pos="210"/>
              </w:tabs>
              <w:autoSpaceDE w:val="0"/>
              <w:autoSpaceDN w:val="0"/>
              <w:adjustRightInd w:val="0"/>
              <w:spacing w:line="276" w:lineRule="auto"/>
              <w:ind w:left="210" w:hanging="219"/>
              <w:rPr>
                <w:rFonts w:cs="Arial"/>
                <w:color w:val="005496"/>
                <w:sz w:val="18"/>
                <w:szCs w:val="18"/>
              </w:rPr>
            </w:pPr>
            <w:r>
              <w:rPr>
                <w:rFonts w:cs="Arial"/>
                <w:color w:val="005496"/>
                <w:sz w:val="18"/>
                <w:szCs w:val="18"/>
              </w:rPr>
              <w:t>Erteilte b</w:t>
            </w:r>
            <w:r>
              <w:rPr>
                <w:rFonts w:cs="Arial"/>
                <w:color w:val="005496"/>
                <w:sz w:val="18"/>
                <w:szCs w:val="18"/>
              </w:rPr>
              <w:t xml:space="preserve">erufliche Weiterbildung </w:t>
            </w:r>
          </w:p>
          <w:p>
            <w:pPr>
              <w:pStyle w:val="Listenabsatz"/>
              <w:numPr>
                <w:ilvl w:val="0"/>
                <w:numId w:val="31"/>
              </w:numPr>
              <w:autoSpaceDE w:val="0"/>
              <w:autoSpaceDN w:val="0"/>
              <w:adjustRightInd w:val="0"/>
              <w:spacing w:line="276" w:lineRule="auto"/>
              <w:ind w:left="210" w:hanging="219"/>
              <w:textAlignment w:val="center"/>
              <w:rPr>
                <w:rFonts w:cs="Arial"/>
                <w:color w:val="000000"/>
                <w:sz w:val="18"/>
                <w:szCs w:val="18"/>
              </w:rPr>
            </w:pPr>
            <w:r>
              <w:rPr>
                <w:rFonts w:cs="Arial"/>
                <w:color w:val="005496"/>
                <w:sz w:val="18"/>
                <w:szCs w:val="18"/>
              </w:rPr>
              <w:t>Forschung, inkl. Doktorat (</w:t>
            </w:r>
            <w:r>
              <w:rPr>
                <w:rFonts w:cs="Arial"/>
                <w:color w:val="005496"/>
                <w:sz w:val="18"/>
                <w:szCs w:val="18"/>
              </w:rPr>
              <w:t xml:space="preserve">MD und </w:t>
            </w:r>
            <w:bookmarkStart w:id="0" w:name="_GoBack"/>
            <w:bookmarkEnd w:id="0"/>
            <w:r>
              <w:rPr>
                <w:rFonts w:cs="Arial"/>
                <w:color w:val="005496"/>
                <w:sz w:val="18"/>
                <w:szCs w:val="18"/>
              </w:rPr>
              <w:t>PhD)</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69319463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Der Kostenträgerausweis des Auftrags enthält mindestens die im Handbuch REKOLE</w:t>
            </w:r>
            <w:r>
              <w:rPr>
                <w:rFonts w:cs="Arial"/>
                <w:color w:val="000000"/>
                <w:sz w:val="18"/>
                <w:szCs w:val="18"/>
                <w:vertAlign w:val="superscript"/>
              </w:rPr>
              <w:t>®</w:t>
            </w:r>
            <w:r>
              <w:rPr>
                <w:rFonts w:cs="Arial"/>
                <w:color w:val="000000"/>
                <w:sz w:val="18"/>
                <w:szCs w:val="18"/>
              </w:rPr>
              <w:t xml:space="preserve"> geforderten Elemente.</w:t>
            </w:r>
            <w:r>
              <w:rPr>
                <w:rFonts w:cs="Arial"/>
                <w:color w:val="000000"/>
                <w:sz w:val="18"/>
                <w:szCs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9.11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Forschung und universitäre Lehre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sz w:val="18"/>
                <w:szCs w:val="18"/>
              </w:rPr>
            </w:pPr>
            <w:r>
              <w:rPr>
                <w:rFonts w:cs="Arial"/>
                <w:sz w:val="18"/>
                <w:szCs w:val="18"/>
              </w:rPr>
              <w:t xml:space="preserve">Nachstehende </w:t>
            </w:r>
            <w:r>
              <w:rPr>
                <w:rFonts w:cs="Arial"/>
                <w:sz w:val="18"/>
                <w:szCs w:val="18"/>
              </w:rPr>
              <w:t>Anforderungen</w:t>
            </w:r>
            <w:r>
              <w:rPr>
                <w:rFonts w:cs="Arial"/>
                <w:sz w:val="18"/>
                <w:szCs w:val="18"/>
              </w:rPr>
              <w:t xml:space="preserve"> gelten für </w:t>
            </w:r>
            <w:r>
              <w:rPr>
                <w:rFonts w:cs="Arial"/>
                <w:sz w:val="18"/>
                <w:szCs w:val="18"/>
              </w:rPr>
              <w:t xml:space="preserve">Universitätsspitäler und </w:t>
            </w:r>
            <w:r>
              <w:rPr>
                <w:rFonts w:cs="Arial"/>
                <w:sz w:val="18"/>
                <w:szCs w:val="18"/>
              </w:rPr>
              <w:t>Spitäler</w:t>
            </w:r>
            <w:r>
              <w:rPr>
                <w:rFonts w:cs="Arial"/>
                <w:sz w:val="18"/>
                <w:szCs w:val="18"/>
              </w:rPr>
              <w:t xml:space="preserve"> </w:t>
            </w:r>
            <w:r>
              <w:rPr>
                <w:rFonts w:cs="Arial"/>
                <w:sz w:val="18"/>
                <w:szCs w:val="18"/>
              </w:rPr>
              <w:t>mit universitären Aufträgen und/oder Forschungsaufträgen von Dritten: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sz w:val="18"/>
              <w:szCs w:val="18"/>
            </w:rPr>
            <w:id w:val="893781801"/>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cs="Arial"/>
                <w:sz w:val="18"/>
                <w:szCs w:val="18"/>
              </w:rPr>
              <w:t xml:space="preserve">Dokumentation der durchgeführten Tätigkeitsanalyse. Diese darf nicht älter sein als 4 Jahre. </w:t>
            </w:r>
            <w:r>
              <w:rPr>
                <w:rFonts w:cs="Arial"/>
                <w:sz w:val="18"/>
                <w:szCs w:val="18"/>
              </w:rPr>
              <w:t>Die Tätigkeitserhebung der universitären Lehre nach Art. 7 VKL, betrifft alle Berufskategorien des Spitalpersonals im Rahmen der theoretischen und praktischen Ausbildung sowie Weiterbildung, der im MedBG</w:t>
            </w:r>
            <w:r>
              <w:rPr>
                <w:rFonts w:cs="Arial"/>
                <w:sz w:val="18"/>
                <w:szCs w:val="18"/>
              </w:rPr>
              <w:t xml:space="preserve"> definierten universitären Medi</w:t>
            </w:r>
            <w:r>
              <w:rPr>
                <w:rFonts w:cs="Arial"/>
                <w:sz w:val="18"/>
                <w:szCs w:val="18"/>
              </w:rPr>
              <w:t>zinalberufe</w:t>
            </w:r>
            <w:r>
              <w:rPr>
                <w:rStyle w:val="Funotenzeichen"/>
                <w:rFonts w:cs="Arial"/>
                <w:sz w:val="18"/>
                <w:szCs w:val="18"/>
              </w:rPr>
              <w:footnoteReference w:id="1"/>
            </w:r>
          </w:p>
          <w:p>
            <w:pPr>
              <w:pStyle w:val="Listenabsatz"/>
              <w:numPr>
                <w:ilvl w:val="0"/>
                <w:numId w:val="39"/>
              </w:numPr>
              <w:autoSpaceDE w:val="0"/>
              <w:autoSpaceDN w:val="0"/>
              <w:adjustRightInd w:val="0"/>
              <w:spacing w:line="276" w:lineRule="auto"/>
              <w:ind w:left="263" w:hanging="263"/>
              <w:rPr>
                <w:rFonts w:cs="Arial"/>
                <w:sz w:val="18"/>
                <w:szCs w:val="18"/>
              </w:rPr>
            </w:pPr>
            <w:r>
              <w:rPr>
                <w:rFonts w:cs="Arial"/>
                <w:sz w:val="18"/>
                <w:szCs w:val="18"/>
              </w:rPr>
              <w:t>die eine Lehrtätigkeit wahrnehmen (erteilte Lehre, Sicht des Lehrers)  und</w:t>
            </w:r>
          </w:p>
          <w:p>
            <w:pPr>
              <w:pStyle w:val="Listenabsatz"/>
              <w:numPr>
                <w:ilvl w:val="0"/>
                <w:numId w:val="39"/>
              </w:numPr>
              <w:autoSpaceDE w:val="0"/>
              <w:autoSpaceDN w:val="0"/>
              <w:adjustRightInd w:val="0"/>
              <w:spacing w:line="276" w:lineRule="auto"/>
              <w:ind w:left="263" w:hanging="263"/>
              <w:rPr>
                <w:rFonts w:cs="Arial"/>
                <w:sz w:val="18"/>
                <w:szCs w:val="18"/>
              </w:rPr>
            </w:pPr>
            <w:r>
              <w:rPr>
                <w:rFonts w:cs="Arial"/>
                <w:sz w:val="18"/>
                <w:szCs w:val="18"/>
              </w:rPr>
              <w:t xml:space="preserve">Studierende (erhaltene Lehre, Sicht des Studenten) </w:t>
            </w:r>
          </w:p>
          <w:p>
            <w:pPr>
              <w:autoSpaceDE w:val="0"/>
              <w:autoSpaceDN w:val="0"/>
              <w:adjustRightInd w:val="0"/>
              <w:spacing w:line="276" w:lineRule="auto"/>
              <w:rPr>
                <w:rFonts w:cs="Arial"/>
                <w:sz w:val="18"/>
                <w:szCs w:val="18"/>
              </w:rPr>
            </w:pPr>
            <w:r>
              <w:rPr>
                <w:rFonts w:cs="Arial"/>
                <w:sz w:val="18"/>
                <w:szCs w:val="18"/>
              </w:rPr>
              <w:lastRenderedPageBreak/>
              <w:t xml:space="preserve">Die Analyse der Kuppelproduktion muss in der Tätigkeitserhebung zwecks der Ermittlung der OKP relevanten Betriebskosten bzw. Ermittlung der Kosten für Forschung und universitäre Lehre lückenlos durchgeführt werden. </w:t>
            </w:r>
          </w:p>
          <w:p>
            <w:pPr>
              <w:autoSpaceDE w:val="0"/>
              <w:autoSpaceDN w:val="0"/>
              <w:adjustRightInd w:val="0"/>
              <w:spacing w:line="276" w:lineRule="auto"/>
              <w:rPr>
                <w:rFonts w:cs="Arial"/>
                <w:sz w:val="18"/>
                <w:szCs w:val="18"/>
              </w:rPr>
            </w:pPr>
          </w:p>
          <w:p>
            <w:pPr>
              <w:autoSpaceDE w:val="0"/>
              <w:autoSpaceDN w:val="0"/>
              <w:adjustRightInd w:val="0"/>
              <w:spacing w:line="276" w:lineRule="auto"/>
              <w:rPr>
                <w:rFonts w:cs="Arial"/>
                <w:sz w:val="18"/>
                <w:szCs w:val="18"/>
              </w:rPr>
            </w:pPr>
            <w:r>
              <w:rPr>
                <w:rFonts w:cs="Arial"/>
                <w:sz w:val="18"/>
                <w:szCs w:val="18"/>
              </w:rPr>
              <w:t>Sie</w:t>
            </w:r>
            <w:r>
              <w:rPr>
                <w:rFonts w:cs="Arial"/>
                <w:sz w:val="18"/>
                <w:szCs w:val="18"/>
              </w:rPr>
              <w:t xml:space="preserve"> </w:t>
            </w:r>
            <w:r>
              <w:rPr>
                <w:rFonts w:cs="Arial"/>
                <w:sz w:val="18"/>
                <w:szCs w:val="18"/>
              </w:rPr>
              <w:t>muss</w:t>
            </w:r>
            <w:r>
              <w:rPr>
                <w:rFonts w:cs="Arial"/>
                <w:sz w:val="18"/>
                <w:szCs w:val="18"/>
              </w:rPr>
              <w:t xml:space="preserve"> mindestens unterteilt </w:t>
            </w:r>
            <w:r>
              <w:rPr>
                <w:rFonts w:cs="Arial"/>
                <w:sz w:val="18"/>
                <w:szCs w:val="18"/>
              </w:rPr>
              <w:t xml:space="preserve">sein </w:t>
            </w:r>
            <w:r>
              <w:rPr>
                <w:rFonts w:cs="Arial"/>
                <w:sz w:val="18"/>
                <w:szCs w:val="18"/>
              </w:rPr>
              <w:t>in</w:t>
            </w:r>
            <w:r>
              <w:rPr>
                <w:rFonts w:cs="Arial"/>
                <w:sz w:val="18"/>
                <w:szCs w:val="18"/>
              </w:rPr>
              <w:t xml:space="preserve"> (erteilt und erhalten)</w:t>
            </w:r>
            <w:r>
              <w:rPr>
                <w:rFonts w:cs="Arial"/>
                <w:sz w:val="18"/>
                <w:szCs w:val="18"/>
              </w:rPr>
              <w:t xml:space="preserve">: </w:t>
            </w:r>
          </w:p>
          <w:p>
            <w:pPr>
              <w:pStyle w:val="Listenabsatz"/>
              <w:numPr>
                <w:ilvl w:val="0"/>
                <w:numId w:val="40"/>
              </w:numPr>
              <w:autoSpaceDE w:val="0"/>
              <w:autoSpaceDN w:val="0"/>
              <w:adjustRightInd w:val="0"/>
              <w:spacing w:line="276" w:lineRule="auto"/>
              <w:ind w:left="210" w:hanging="219"/>
              <w:rPr>
                <w:rFonts w:cs="Arial"/>
                <w:sz w:val="18"/>
                <w:szCs w:val="18"/>
              </w:rPr>
            </w:pPr>
            <w:r>
              <w:rPr>
                <w:rFonts w:cs="Arial"/>
                <w:sz w:val="18"/>
                <w:szCs w:val="18"/>
              </w:rPr>
              <w:t>Ausbildung</w:t>
            </w:r>
            <w:r>
              <w:rPr>
                <w:rFonts w:cs="Arial"/>
                <w:sz w:val="18"/>
                <w:szCs w:val="18"/>
              </w:rPr>
              <w:t xml:space="preserve"> </w:t>
            </w:r>
          </w:p>
          <w:p>
            <w:pPr>
              <w:numPr>
                <w:ilvl w:val="0"/>
                <w:numId w:val="40"/>
              </w:numPr>
              <w:autoSpaceDE w:val="0"/>
              <w:autoSpaceDN w:val="0"/>
              <w:adjustRightInd w:val="0"/>
              <w:spacing w:line="276" w:lineRule="auto"/>
              <w:ind w:left="210" w:hanging="219"/>
              <w:rPr>
                <w:rFonts w:cs="Arial"/>
                <w:sz w:val="18"/>
                <w:szCs w:val="18"/>
              </w:rPr>
            </w:pPr>
            <w:r>
              <w:rPr>
                <w:rFonts w:cs="Arial"/>
                <w:sz w:val="18"/>
                <w:szCs w:val="18"/>
              </w:rPr>
              <w:t xml:space="preserve">Weiterbildung </w:t>
            </w:r>
            <w:r>
              <w:rPr>
                <w:rFonts w:cs="Arial"/>
                <w:sz w:val="18"/>
                <w:szCs w:val="18"/>
              </w:rPr>
              <w:t xml:space="preserve"> </w:t>
            </w:r>
            <w:r>
              <w:rPr>
                <w:rFonts w:cs="Arial"/>
                <w:sz w:val="18"/>
                <w:szCs w:val="18"/>
              </w:rPr>
              <w:t xml:space="preserve">und </w:t>
            </w:r>
          </w:p>
          <w:p>
            <w:pPr>
              <w:numPr>
                <w:ilvl w:val="0"/>
                <w:numId w:val="40"/>
              </w:numPr>
              <w:autoSpaceDE w:val="0"/>
              <w:autoSpaceDN w:val="0"/>
              <w:adjustRightInd w:val="0"/>
              <w:spacing w:line="276" w:lineRule="auto"/>
              <w:ind w:left="210" w:hanging="219"/>
              <w:rPr>
                <w:rFonts w:cs="Arial"/>
                <w:sz w:val="18"/>
                <w:szCs w:val="18"/>
              </w:rPr>
            </w:pPr>
            <w:r>
              <w:rPr>
                <w:rFonts w:cs="Arial"/>
                <w:sz w:val="18"/>
                <w:szCs w:val="18"/>
              </w:rPr>
              <w:t>Forschung</w:t>
            </w:r>
          </w:p>
          <w:p>
            <w:pPr>
              <w:autoSpaceDE w:val="0"/>
              <w:autoSpaceDN w:val="0"/>
              <w:adjustRightInd w:val="0"/>
              <w:spacing w:line="276" w:lineRule="auto"/>
              <w:rPr>
                <w:rFonts w:cs="Arial"/>
                <w:sz w:val="18"/>
                <w:szCs w:val="18"/>
              </w:rPr>
            </w:pPr>
            <w:r>
              <w:rPr>
                <w:rFonts w:cs="Arial"/>
                <w:sz w:val="18"/>
                <w:szCs w:val="18"/>
              </w:rPr>
              <w:t xml:space="preserve">Fortbildungsaktivitäten und ihre entsprechenden Kosten sind OKP-relevante Kosten und fallen daher nicht unter die Aktivitäten der Forschung und universitären Lehre nach KVG. Die Tätigkeitserhebung der Fortbildung bleibt daher optional, da kein separater Ausweis dieser Tätigkeit von Gesetzes wegen erforderlich ist. Fortbildungsaktivitäten sind auf die administrativen Fälle zu verrechnen. </w:t>
            </w:r>
          </w:p>
          <w:p>
            <w:pPr>
              <w:autoSpaceDE w:val="0"/>
              <w:autoSpaceDN w:val="0"/>
              <w:adjustRightInd w:val="0"/>
              <w:spacing w:line="276" w:lineRule="auto"/>
              <w:rPr>
                <w:rFonts w:cs="Arial"/>
                <w:sz w:val="18"/>
                <w:szCs w:val="18"/>
              </w:rPr>
            </w:pPr>
          </w:p>
          <w:p>
            <w:pPr>
              <w:autoSpaceDE w:val="0"/>
              <w:autoSpaceDN w:val="0"/>
              <w:adjustRightInd w:val="0"/>
              <w:spacing w:line="276" w:lineRule="auto"/>
              <w:rPr>
                <w:rFonts w:cs="Arial"/>
                <w:color w:val="005496"/>
                <w:sz w:val="18"/>
                <w:szCs w:val="18"/>
              </w:rPr>
            </w:pPr>
            <w:r>
              <w:rPr>
                <w:rFonts w:cs="Arial"/>
                <w:color w:val="005496"/>
                <w:sz w:val="18"/>
                <w:szCs w:val="18"/>
              </w:rPr>
              <w:t xml:space="preserve">Hinweis: </w:t>
            </w:r>
            <w:r>
              <w:rPr>
                <w:rFonts w:cs="Arial"/>
                <w:color w:val="005496"/>
                <w:sz w:val="18"/>
                <w:szCs w:val="18"/>
              </w:rPr>
              <w:t>Die Tätigkeitsgruppen gemäss Handbuch Kapitel 10.3 wurden für die ärztlichen Berufskategorien beispielhaft zugeschnitten. Erstellt ein Spital eine noch feinere Tätigkeitserhebung, so ist sicherzustellen, dass die erhaltenen Informationen (z. B. prozentuale Anteile des Beschäftigungsgrads) richtig verdichtet werden. Eventuelle fehlende und für die übrigen Berufskategorien spezifische Tätigkeitsgruppen sind zu bilden.</w:t>
            </w:r>
          </w:p>
          <w:p>
            <w:pPr>
              <w:autoSpaceDE w:val="0"/>
              <w:autoSpaceDN w:val="0"/>
              <w:adjustRightInd w:val="0"/>
              <w:spacing w:line="276" w:lineRule="auto"/>
              <w:rPr>
                <w:rFonts w:cs="Arial"/>
                <w:color w:val="005496"/>
                <w:sz w:val="18"/>
                <w:szCs w:val="18"/>
              </w:rPr>
            </w:pPr>
          </w:p>
          <w:p>
            <w:pPr>
              <w:autoSpaceDE w:val="0"/>
              <w:autoSpaceDN w:val="0"/>
              <w:adjustRightInd w:val="0"/>
              <w:spacing w:line="276" w:lineRule="auto"/>
              <w:rPr>
                <w:rFonts w:cs="Arial"/>
                <w:sz w:val="18"/>
                <w:szCs w:val="18"/>
              </w:rPr>
            </w:pPr>
            <w:r>
              <w:rPr>
                <w:rFonts w:cs="Arial"/>
                <w:color w:val="005496"/>
                <w:sz w:val="18"/>
                <w:szCs w:val="18"/>
              </w:rPr>
              <w:t>Weitere Details sind dem Handbuch REKOLE</w:t>
            </w:r>
            <w:r>
              <w:rPr>
                <w:rFonts w:cs="Arial"/>
                <w:color w:val="005496"/>
                <w:sz w:val="18"/>
                <w:szCs w:val="18"/>
                <w:vertAlign w:val="superscript"/>
              </w:rPr>
              <w:t>®</w:t>
            </w:r>
            <w:r>
              <w:rPr>
                <w:rFonts w:cs="Arial"/>
                <w:color w:val="005496"/>
                <w:sz w:val="18"/>
                <w:szCs w:val="18"/>
              </w:rPr>
              <w:t>, Betriebliches Rechnungswesen, 4. Ausgabe 2013, Kapitel 9.11.6 Voraussetzungen innerhalb von REKOLE</w:t>
            </w:r>
            <w:r>
              <w:rPr>
                <w:rFonts w:cs="Arial"/>
                <w:color w:val="005496"/>
                <w:sz w:val="18"/>
                <w:szCs w:val="18"/>
                <w:vertAlign w:val="superscript"/>
              </w:rPr>
              <w:t>®</w:t>
            </w:r>
            <w:r>
              <w:rPr>
                <w:rFonts w:cs="Arial"/>
                <w:color w:val="005496"/>
                <w:sz w:val="18"/>
                <w:szCs w:val="18"/>
              </w:rPr>
              <w:t xml:space="preserve"> und  Kapitel 10.3 Bildung von Tätigkeitsgruppen zwecks Erfassung der Aktivitäten der Forschung und universitären Lehre</w:t>
            </w:r>
            <w:r>
              <w:rPr>
                <w:rFonts w:cs="Arial"/>
                <w:color w:val="005496"/>
                <w:sz w:val="18"/>
                <w:szCs w:val="18"/>
              </w:rPr>
              <w:t xml:space="preserve"> zu entnehmen.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sz w:val="18"/>
              <w:szCs w:val="18"/>
            </w:rPr>
            <w:id w:val="11572701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sz w:val="18"/>
                <w:szCs w:val="18"/>
              </w:rPr>
            </w:pPr>
            <w:r>
              <w:rPr>
                <w:rFonts w:eastAsia="TheMix-HP3Lig" w:cs="Arial"/>
                <w:sz w:val="18"/>
                <w:szCs w:val="18"/>
              </w:rPr>
              <w:t>Dokumentation der  Vorkehrungen, die getroffen wurden, um die indirekten Kosten der Kuppelproduktion verursachergerecht auf die Muss-Kostenstelle Forschung und universitäre Lehre umzubuchen (Personalkosten) bzw. umzu</w:t>
            </w:r>
            <w:r>
              <w:rPr>
                <w:rFonts w:eastAsia="TheMix-HP3Lig" w:cs="Arial"/>
                <w:sz w:val="18"/>
                <w:szCs w:val="18"/>
              </w:rPr>
              <w:t>legen (Sachkosten)</w:t>
            </w:r>
          </w:p>
          <w:p>
            <w:pPr>
              <w:autoSpaceDE w:val="0"/>
              <w:autoSpaceDN w:val="0"/>
              <w:adjustRightInd w:val="0"/>
              <w:spacing w:line="276" w:lineRule="auto"/>
              <w:rPr>
                <w:rFonts w:eastAsia="TheMix-HP3Lig" w:cs="Arial"/>
                <w:sz w:val="18"/>
                <w:szCs w:val="18"/>
              </w:rPr>
            </w:pPr>
          </w:p>
          <w:p>
            <w:pPr>
              <w:autoSpaceDE w:val="0"/>
              <w:autoSpaceDN w:val="0"/>
              <w:adjustRightInd w:val="0"/>
              <w:spacing w:line="276" w:lineRule="auto"/>
              <w:rPr>
                <w:rFonts w:eastAsia="TheMix-HP3Lig" w:cs="Arial"/>
                <w:sz w:val="18"/>
                <w:szCs w:val="18"/>
              </w:rPr>
            </w:pPr>
            <w:r>
              <w:rPr>
                <w:rFonts w:cs="Arial"/>
                <w:color w:val="005496"/>
                <w:sz w:val="18"/>
                <w:szCs w:val="18"/>
              </w:rPr>
              <w:t>Hinweis: Bei der Ermittlung der indirekten Kosten ist ein ausgewogenes Kos</w:t>
            </w:r>
            <w:r>
              <w:rPr>
                <w:rFonts w:cs="Arial"/>
                <w:color w:val="005496"/>
                <w:sz w:val="18"/>
                <w:szCs w:val="18"/>
              </w:rPr>
              <w:t>ten/</w:t>
            </w:r>
            <w:r>
              <w:rPr>
                <w:rFonts w:cs="Arial"/>
                <w:color w:val="005496"/>
                <w:sz w:val="18"/>
                <w:szCs w:val="18"/>
              </w:rPr>
              <w:t>Nutzenverhältnis zu wahren.</w:t>
            </w:r>
            <w:r>
              <w:rPr>
                <w:rFonts w:eastAsia="TheMix-HP3Lig" w:cs="Arial"/>
                <w:color w:val="1F497D" w:themeColor="text2"/>
                <w:sz w:val="18"/>
                <w:szCs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sz w:val="18"/>
              <w:szCs w:val="18"/>
            </w:rPr>
            <w:id w:val="183418078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highlight w:val="yellow"/>
              </w:rPr>
            </w:pPr>
            <w:r>
              <w:rPr>
                <w:rFonts w:cs="Arial"/>
                <w:sz w:val="18"/>
                <w:szCs w:val="18"/>
              </w:rPr>
              <w:t xml:space="preserve">Wenn </w:t>
            </w:r>
            <w:r>
              <w:rPr>
                <w:rFonts w:cs="Arial"/>
                <w:sz w:val="18"/>
                <w:szCs w:val="18"/>
              </w:rPr>
              <w:t xml:space="preserve">die </w:t>
            </w:r>
            <w:r>
              <w:rPr>
                <w:rFonts w:cs="Arial"/>
                <w:sz w:val="18"/>
                <w:szCs w:val="18"/>
              </w:rPr>
              <w:t xml:space="preserve">Forschung und </w:t>
            </w:r>
            <w:r>
              <w:rPr>
                <w:rFonts w:cs="Arial"/>
                <w:sz w:val="18"/>
                <w:szCs w:val="18"/>
              </w:rPr>
              <w:t>universitäre Lehre nebst dem Spital durch Dritte (Erziehungsdirektionen, Kantone, Staat, Industrien, Forschungsinstitute</w:t>
            </w:r>
            <w:r>
              <w:rPr>
                <w:rFonts w:cs="Arial"/>
                <w:sz w:val="18"/>
                <w:szCs w:val="18"/>
              </w:rPr>
              <w:t>, Berufsverbände, Fachgesellschaften, Stiftungen, etc.) finanziert</w:t>
            </w:r>
            <w:r>
              <w:rPr>
                <w:rFonts w:cs="Arial"/>
                <w:sz w:val="18"/>
                <w:szCs w:val="18"/>
              </w:rPr>
              <w:t xml:space="preserve"> wird: sind die von Dritten finanzierten Kosten und Erlöse bekannt und wurden sie als Zusatzkosten/-erlöse in der Abgrenzungsrechnung berücksichtigt [vgl. Kapitel 5.6.2 Kalkulatorische Kosten (Ermittlung der Anders- und Zusatzkosten)]?</w:t>
            </w:r>
            <w:r>
              <w:rPr>
                <w:rFonts w:cs="Arial"/>
                <w:sz w:val="18"/>
                <w:szCs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sz w:val="18"/>
              <w:szCs w:val="18"/>
            </w:rPr>
            <w:id w:val="171639116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sz w:val="18"/>
                <w:szCs w:val="18"/>
              </w:rPr>
            </w:pPr>
            <w:r>
              <w:rPr>
                <w:rFonts w:eastAsia="TheMix-HP3Lig" w:cs="Arial"/>
                <w:sz w:val="18"/>
                <w:szCs w:val="18"/>
              </w:rPr>
              <w:t xml:space="preserve">Überprüfung: </w:t>
            </w:r>
            <w:r>
              <w:rPr>
                <w:rFonts w:eastAsia="TheMix-HP3Lig" w:cs="Arial"/>
                <w:sz w:val="18"/>
                <w:szCs w:val="18"/>
              </w:rPr>
              <w:t>die Lohnkostenanteile</w:t>
            </w:r>
            <w:r>
              <w:rPr>
                <w:rFonts w:eastAsia="TheMix-HP3Lig" w:cs="Arial"/>
                <w:sz w:val="18"/>
                <w:szCs w:val="18"/>
              </w:rPr>
              <w:t xml:space="preserve"> werden</w:t>
            </w:r>
            <w:r>
              <w:rPr>
                <w:rFonts w:eastAsia="TheMix-HP3Lig" w:cs="Arial"/>
                <w:sz w:val="18"/>
                <w:szCs w:val="18"/>
              </w:rPr>
              <w:t xml:space="preserve"> direkt oder indirekt auf die Muss-Kostenstelle Forschung </w:t>
            </w:r>
            <w:r>
              <w:rPr>
                <w:rFonts w:eastAsia="TheMix-HP3Lig" w:cs="Arial"/>
                <w:sz w:val="18"/>
                <w:szCs w:val="18"/>
              </w:rPr>
              <w:t>und universitäre Lehre verbucht.</w:t>
            </w:r>
            <w:r>
              <w:rPr>
                <w:rFonts w:eastAsia="TheMix-HP3Lig" w:cs="Arial"/>
                <w:sz w:val="18"/>
                <w:szCs w:val="18"/>
              </w:rPr>
              <w:t xml:space="preserve"> </w:t>
            </w:r>
          </w:p>
          <w:p>
            <w:pPr>
              <w:autoSpaceDE w:val="0"/>
              <w:autoSpaceDN w:val="0"/>
              <w:adjustRightInd w:val="0"/>
              <w:spacing w:line="276" w:lineRule="auto"/>
              <w:rPr>
                <w:rFonts w:eastAsia="TheMix-HP3Lig" w:cs="Arial"/>
                <w:sz w:val="18"/>
                <w:szCs w:val="18"/>
              </w:rPr>
            </w:pPr>
          </w:p>
          <w:p>
            <w:pPr>
              <w:autoSpaceDE w:val="0"/>
              <w:autoSpaceDN w:val="0"/>
              <w:adjustRightInd w:val="0"/>
              <w:spacing w:line="276" w:lineRule="auto"/>
              <w:rPr>
                <w:rFonts w:eastAsia="TheMix-HP3Lig" w:cs="Arial"/>
                <w:sz w:val="18"/>
                <w:szCs w:val="18"/>
                <w:highlight w:val="yellow"/>
              </w:rPr>
            </w:pPr>
            <w:r>
              <w:rPr>
                <w:rFonts w:cs="Arial"/>
                <w:color w:val="005496"/>
                <w:sz w:val="18"/>
                <w:szCs w:val="18"/>
              </w:rPr>
              <w:t xml:space="preserve">Hinweis: Eine Verrechnung mittels ILV oder der Bildung von Sekundärkosten ist in diesem Zusammenhang nicht zulässig, da dadurch </w:t>
            </w:r>
            <w:r>
              <w:rPr>
                <w:rFonts w:cs="Arial"/>
                <w:color w:val="005496"/>
                <w:sz w:val="18"/>
                <w:szCs w:val="18"/>
              </w:rPr>
              <w:t>ein zu tiefer Ausweis der Primärkosten der Muss-Kostenstelle 47 Forschung und universitäre Lehre erfolgt, was zu einer Unterbewertung der gesamten Kosten der Forschung und universitären Lehre führt.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sz w:val="18"/>
              <w:szCs w:val="18"/>
            </w:rPr>
            <w:id w:val="26611945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b/>
                <w:sz w:val="18"/>
                <w:szCs w:val="18"/>
              </w:rPr>
            </w:pPr>
            <w:r>
              <w:rPr>
                <w:rFonts w:eastAsia="TheMix-HP3Lig" w:cs="Arial"/>
                <w:b/>
                <w:sz w:val="18"/>
                <w:szCs w:val="18"/>
              </w:rPr>
              <w:t>Verursachergerechte Umlage der administrativen Bereiche</w:t>
            </w:r>
          </w:p>
          <w:p>
            <w:pPr>
              <w:autoSpaceDE w:val="0"/>
              <w:autoSpaceDN w:val="0"/>
              <w:adjustRightInd w:val="0"/>
              <w:spacing w:line="276" w:lineRule="auto"/>
              <w:rPr>
                <w:rFonts w:eastAsia="TheMix-HP3Lig" w:cs="Arial"/>
                <w:sz w:val="18"/>
                <w:szCs w:val="18"/>
              </w:rPr>
            </w:pPr>
            <w:r>
              <w:rPr>
                <w:rFonts w:eastAsia="TheMix-HP3Lig" w:cs="Arial"/>
                <w:sz w:val="18"/>
                <w:szCs w:val="18"/>
              </w:rPr>
              <w:t>Überprüfung: S</w:t>
            </w:r>
            <w:r>
              <w:rPr>
                <w:rFonts w:eastAsia="TheMix-HP3Lig" w:cs="Arial"/>
                <w:sz w:val="18"/>
                <w:szCs w:val="18"/>
              </w:rPr>
              <w:t xml:space="preserve">ämtliche Besoldungen des im Spital arbeitenden Personals </w:t>
            </w:r>
            <w:r>
              <w:rPr>
                <w:rFonts w:eastAsia="TheMix-HP3Lig" w:cs="Arial"/>
                <w:sz w:val="18"/>
                <w:szCs w:val="18"/>
              </w:rPr>
              <w:t xml:space="preserve">sind </w:t>
            </w:r>
            <w:r>
              <w:rPr>
                <w:rFonts w:eastAsia="TheMix-HP3Lig" w:cs="Arial"/>
                <w:sz w:val="18"/>
                <w:szCs w:val="18"/>
              </w:rPr>
              <w:t>in der Kostenartenrechnung berücksichtigt (als Aufwand oder Zusatz</w:t>
            </w:r>
            <w:r>
              <w:rPr>
                <w:rFonts w:eastAsia="TheMix-HP3Lig" w:cs="Arial"/>
                <w:sz w:val="18"/>
                <w:szCs w:val="18"/>
              </w:rPr>
              <w:t xml:space="preserve">kosten). Wenn </w:t>
            </w:r>
            <w:r>
              <w:rPr>
                <w:rFonts w:eastAsia="TheMix-HP3Lig" w:cs="Arial"/>
                <w:sz w:val="18"/>
                <w:szCs w:val="18"/>
              </w:rPr>
              <w:t>nicht,</w:t>
            </w:r>
            <w:r>
              <w:rPr>
                <w:rFonts w:eastAsia="TheMix-HP3Lig" w:cs="Arial"/>
                <w:sz w:val="18"/>
                <w:szCs w:val="18"/>
              </w:rPr>
              <w:t xml:space="preserve"> ist sicherzustellen, dass </w:t>
            </w:r>
            <w:r>
              <w:rPr>
                <w:rFonts w:eastAsia="TheMix-HP3Lig" w:cs="Arial"/>
                <w:sz w:val="18"/>
                <w:szCs w:val="18"/>
              </w:rPr>
              <w:t xml:space="preserve"> </w:t>
            </w:r>
            <w:r>
              <w:rPr>
                <w:rFonts w:eastAsia="TheMix-HP3Lig" w:cs="Arial"/>
                <w:sz w:val="18"/>
                <w:szCs w:val="18"/>
              </w:rPr>
              <w:t xml:space="preserve">bei folgenden </w:t>
            </w:r>
            <w:r>
              <w:rPr>
                <w:rFonts w:eastAsia="TheMix-HP3Lig" w:cs="Arial"/>
                <w:sz w:val="18"/>
                <w:szCs w:val="18"/>
              </w:rPr>
              <w:t xml:space="preserve">dienstleistenden </w:t>
            </w:r>
            <w:r>
              <w:rPr>
                <w:rFonts w:eastAsia="TheMix-HP3Lig" w:cs="Arial"/>
                <w:sz w:val="18"/>
                <w:szCs w:val="18"/>
              </w:rPr>
              <w:t xml:space="preserve">Muss-Kostenstellen die Bezugsgrösse Anzahl der 100 % Stellen als Minimalvariante verwendet worden ist: </w:t>
            </w:r>
          </w:p>
          <w:p>
            <w:pPr>
              <w:numPr>
                <w:ilvl w:val="0"/>
                <w:numId w:val="37"/>
              </w:numPr>
              <w:autoSpaceDE w:val="0"/>
              <w:autoSpaceDN w:val="0"/>
              <w:adjustRightInd w:val="0"/>
              <w:spacing w:line="276" w:lineRule="auto"/>
              <w:ind w:left="210" w:hanging="210"/>
              <w:rPr>
                <w:rFonts w:eastAsia="TheMix-HP3Lig" w:cs="Arial"/>
                <w:sz w:val="18"/>
                <w:szCs w:val="18"/>
              </w:rPr>
            </w:pPr>
            <w:r>
              <w:rPr>
                <w:rFonts w:eastAsia="TheMix-HP3Lig" w:cs="Arial"/>
                <w:sz w:val="18"/>
                <w:szCs w:val="18"/>
              </w:rPr>
              <w:t>Direktion</w:t>
            </w:r>
          </w:p>
          <w:p>
            <w:pPr>
              <w:numPr>
                <w:ilvl w:val="0"/>
                <w:numId w:val="37"/>
              </w:numPr>
              <w:autoSpaceDE w:val="0"/>
              <w:autoSpaceDN w:val="0"/>
              <w:adjustRightInd w:val="0"/>
              <w:spacing w:line="276" w:lineRule="auto"/>
              <w:ind w:left="210" w:hanging="210"/>
              <w:rPr>
                <w:rFonts w:eastAsia="TheMix-HP3Lig" w:cs="Arial"/>
                <w:sz w:val="18"/>
                <w:szCs w:val="18"/>
              </w:rPr>
            </w:pPr>
            <w:r>
              <w:rPr>
                <w:rFonts w:eastAsia="TheMix-HP3Lig" w:cs="Arial"/>
                <w:sz w:val="18"/>
                <w:szCs w:val="18"/>
              </w:rPr>
              <w:t>Dezentrale Führungs- und Koordinationsbereiche</w:t>
            </w:r>
          </w:p>
          <w:p>
            <w:pPr>
              <w:numPr>
                <w:ilvl w:val="0"/>
                <w:numId w:val="37"/>
              </w:numPr>
              <w:autoSpaceDE w:val="0"/>
              <w:autoSpaceDN w:val="0"/>
              <w:adjustRightInd w:val="0"/>
              <w:spacing w:line="276" w:lineRule="auto"/>
              <w:ind w:left="210" w:hanging="210"/>
              <w:rPr>
                <w:rFonts w:eastAsia="TheMix-HP3Lig" w:cs="Arial"/>
                <w:sz w:val="18"/>
                <w:szCs w:val="18"/>
              </w:rPr>
            </w:pPr>
            <w:r>
              <w:rPr>
                <w:rFonts w:eastAsia="TheMix-HP3Lig" w:cs="Arial"/>
                <w:sz w:val="18"/>
                <w:szCs w:val="18"/>
              </w:rPr>
              <w:t>Personalwesen</w:t>
            </w:r>
          </w:p>
          <w:p>
            <w:pPr>
              <w:numPr>
                <w:ilvl w:val="0"/>
                <w:numId w:val="37"/>
              </w:numPr>
              <w:autoSpaceDE w:val="0"/>
              <w:autoSpaceDN w:val="0"/>
              <w:adjustRightInd w:val="0"/>
              <w:spacing w:line="276" w:lineRule="auto"/>
              <w:ind w:left="210" w:hanging="210"/>
              <w:rPr>
                <w:rFonts w:eastAsia="TheMix-HP3Lig" w:cs="Arial"/>
                <w:sz w:val="18"/>
                <w:szCs w:val="18"/>
              </w:rPr>
            </w:pPr>
            <w:r>
              <w:rPr>
                <w:rFonts w:eastAsia="TheMix-HP3Lig" w:cs="Arial"/>
                <w:sz w:val="18"/>
                <w:szCs w:val="18"/>
              </w:rPr>
              <w:lastRenderedPageBreak/>
              <w:t>Rechnungswesen</w:t>
            </w:r>
          </w:p>
          <w:p>
            <w:pPr>
              <w:autoSpaceDE w:val="0"/>
              <w:autoSpaceDN w:val="0"/>
              <w:adjustRightInd w:val="0"/>
              <w:spacing w:line="276" w:lineRule="auto"/>
              <w:ind w:left="21"/>
              <w:rPr>
                <w:rFonts w:eastAsia="TheMix-HP3Lig" w:cs="Arial"/>
                <w:sz w:val="18"/>
                <w:szCs w:val="18"/>
              </w:rPr>
            </w:pPr>
          </w:p>
          <w:p>
            <w:pPr>
              <w:autoSpaceDE w:val="0"/>
              <w:autoSpaceDN w:val="0"/>
              <w:adjustRightInd w:val="0"/>
              <w:spacing w:line="276" w:lineRule="auto"/>
              <w:ind w:left="21"/>
              <w:rPr>
                <w:rFonts w:eastAsia="TheMix-HP3Lig" w:cs="Arial"/>
                <w:sz w:val="18"/>
                <w:szCs w:val="18"/>
              </w:rPr>
            </w:pPr>
            <w:r>
              <w:rPr>
                <w:rFonts w:eastAsia="TheMix-HP3Lig" w:cs="Arial"/>
                <w:sz w:val="18"/>
                <w:szCs w:val="18"/>
              </w:rPr>
              <w:t xml:space="preserve">Somit entsteht keine </w:t>
            </w:r>
            <w:r>
              <w:rPr>
                <w:rFonts w:eastAsia="TheMix-HP3Lig" w:cs="Arial"/>
                <w:sz w:val="18"/>
                <w:szCs w:val="18"/>
              </w:rPr>
              <w:t xml:space="preserve">Verzerrung </w:t>
            </w:r>
            <w:r>
              <w:rPr>
                <w:rFonts w:eastAsia="TheMix-HP3Lig" w:cs="Arial"/>
                <w:sz w:val="18"/>
                <w:szCs w:val="18"/>
              </w:rPr>
              <w:t>aufgrund eines in diesem Fall nicht zweckmässigen</w:t>
            </w:r>
            <w:r>
              <w:rPr>
                <w:rFonts w:eastAsia="TheMix-HP3Lig" w:cs="Arial"/>
                <w:sz w:val="18"/>
                <w:szCs w:val="18"/>
              </w:rPr>
              <w:t xml:space="preserve"> Umlageschlüssel</w:t>
            </w:r>
            <w:r>
              <w:rPr>
                <w:rFonts w:eastAsia="TheMix-HP3Lig" w:cs="Arial"/>
                <w:sz w:val="18"/>
                <w:szCs w:val="18"/>
              </w:rPr>
              <w:t>s</w:t>
            </w:r>
            <w:r>
              <w:rPr>
                <w:rFonts w:eastAsia="TheMix-HP3Lig" w:cs="Arial"/>
                <w:sz w:val="18"/>
                <w:szCs w:val="18"/>
              </w:rPr>
              <w:t>.</w:t>
            </w:r>
          </w:p>
          <w:p>
            <w:pPr>
              <w:autoSpaceDE w:val="0"/>
              <w:autoSpaceDN w:val="0"/>
              <w:adjustRightInd w:val="0"/>
              <w:spacing w:line="276" w:lineRule="auto"/>
              <w:rPr>
                <w:rFonts w:cs="Arial"/>
                <w:color w:val="005496"/>
                <w:sz w:val="18"/>
                <w:szCs w:val="18"/>
              </w:rPr>
            </w:pPr>
          </w:p>
          <w:p>
            <w:pPr>
              <w:autoSpaceDE w:val="0"/>
              <w:autoSpaceDN w:val="0"/>
              <w:adjustRightInd w:val="0"/>
              <w:spacing w:line="276" w:lineRule="auto"/>
              <w:rPr>
                <w:rFonts w:eastAsia="TheMix-HP3Lig" w:cs="Arial"/>
                <w:sz w:val="18"/>
                <w:szCs w:val="18"/>
              </w:rPr>
            </w:pPr>
            <w:r>
              <w:rPr>
                <w:rFonts w:cs="Arial"/>
                <w:color w:val="005496"/>
                <w:sz w:val="18"/>
                <w:szCs w:val="18"/>
              </w:rPr>
              <w:t>Hinweis: Die Bezugsgrösse % der Besoldungen ist in diesem Fall als Minimalvariante nicht statthaft.</w:t>
            </w:r>
            <w:r>
              <w:rPr>
                <w:rFonts w:eastAsia="TheMix-HP3Lig" w:cs="Arial"/>
                <w:color w:val="1F497D" w:themeColor="text2"/>
                <w:sz w:val="18"/>
                <w:szCs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sz w:val="18"/>
              <w:szCs w:val="18"/>
            </w:rPr>
            <w:id w:val="91490784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sz w:val="18"/>
                <w:szCs w:val="18"/>
              </w:rPr>
            </w:pPr>
            <w:r>
              <w:rPr>
                <w:rFonts w:eastAsia="TheMix-HP3Lig" w:cs="Arial"/>
                <w:sz w:val="18"/>
                <w:szCs w:val="18"/>
              </w:rPr>
              <w:t>Überprüfung: D</w:t>
            </w:r>
            <w:r>
              <w:rPr>
                <w:rFonts w:eastAsia="TheMix-HP3Lig" w:cs="Arial"/>
                <w:sz w:val="18"/>
                <w:szCs w:val="18"/>
              </w:rPr>
              <w:t xml:space="preserve">ie Sachkosten (medizinisch und nicht-medizinisch), die kalkulatorischen Abschreibungen von mobilen Sachanlagen (Anlagekategorie D, E und F)  oder Investitionen deren Anschaffungswert unter dem VKL Wert liegen, </w:t>
            </w:r>
            <w:r>
              <w:rPr>
                <w:rFonts w:eastAsia="TheMix-HP3Lig" w:cs="Arial"/>
                <w:sz w:val="18"/>
                <w:szCs w:val="18"/>
              </w:rPr>
              <w:t xml:space="preserve">werden </w:t>
            </w:r>
            <w:r>
              <w:rPr>
                <w:rFonts w:eastAsia="TheMix-HP3Lig" w:cs="Arial"/>
                <w:sz w:val="18"/>
                <w:szCs w:val="18"/>
              </w:rPr>
              <w:t>mindestens als prozentualer Anteil zwischen den durch die Aktivitäten der Forschung und universitären Lehre betroffenen Muss-Kostenstellen und der Muss-Kostenstelle Forschung und universitäre Lehre in Anlehnung an die ermittelten Beschäftigungsgrade aufgeteilt</w:t>
            </w:r>
            <w:r>
              <w:rPr>
                <w:rFonts w:eastAsia="TheMix-HP3Lig" w:cs="Arial"/>
                <w:sz w:val="18"/>
                <w:szCs w:val="18"/>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sz w:val="18"/>
              <w:szCs w:val="18"/>
            </w:rPr>
            <w:id w:val="32378181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sz w:val="18"/>
                <w:szCs w:val="18"/>
              </w:rPr>
            </w:pPr>
            <w:r>
              <w:rPr>
                <w:rFonts w:eastAsia="TheMix-HP3Lig" w:cs="Arial"/>
                <w:sz w:val="18"/>
                <w:szCs w:val="18"/>
              </w:rPr>
              <w:t xml:space="preserve">Überprüfung: </w:t>
            </w:r>
            <w:r>
              <w:rPr>
                <w:rFonts w:eastAsia="TheMix-HP3Lig" w:cs="Arial"/>
                <w:sz w:val="18"/>
                <w:szCs w:val="18"/>
              </w:rPr>
              <w:t>Die Raumkosten werden auf die Muss-Kostenstelle Infrastruktur kontiert und anschliessend mittels m</w:t>
            </w:r>
            <w:r>
              <w:rPr>
                <w:rFonts w:eastAsia="TheMix-HP3Lig" w:cs="Arial"/>
                <w:sz w:val="18"/>
                <w:szCs w:val="18"/>
                <w:vertAlign w:val="superscript"/>
              </w:rPr>
              <w:t>2</w:t>
            </w:r>
            <w:r>
              <w:rPr>
                <w:rFonts w:eastAsia="TheMix-HP3Lig" w:cs="Arial"/>
                <w:sz w:val="18"/>
                <w:szCs w:val="18"/>
              </w:rPr>
              <w:t xml:space="preserve"> auf die anderen Kostenstellen umgelegt. </w:t>
            </w:r>
            <w:r>
              <w:rPr>
                <w:rFonts w:eastAsia="TheMix-HP3Lig" w:cs="Arial"/>
                <w:sz w:val="18"/>
                <w:szCs w:val="18"/>
              </w:rPr>
              <w:t>m</w:t>
            </w:r>
            <w:r>
              <w:rPr>
                <w:rFonts w:eastAsia="TheMix-HP3Lig" w:cs="Arial"/>
                <w:sz w:val="18"/>
                <w:szCs w:val="18"/>
                <w:vertAlign w:val="superscript"/>
              </w:rPr>
              <w:t>2</w:t>
            </w:r>
            <w:r>
              <w:rPr>
                <w:rFonts w:eastAsia="TheMix-HP3Lig" w:cs="Arial"/>
                <w:sz w:val="18"/>
                <w:szCs w:val="18"/>
              </w:rPr>
              <w:t xml:space="preserve"> von Räumen mit einem kuppelproduktiven Aspekt (z.B. Operationssaal, Gänge, gemeinsam genutzte Büros, usw.)</w:t>
            </w:r>
            <w:r>
              <w:rPr>
                <w:rFonts w:eastAsia="TheMix-HP3Lig" w:cs="Arial"/>
                <w:sz w:val="18"/>
                <w:szCs w:val="18"/>
              </w:rPr>
              <w:t xml:space="preserve"> werden</w:t>
            </w:r>
            <w:r>
              <w:rPr>
                <w:rFonts w:eastAsia="TheMix-HP3Lig" w:cs="Arial"/>
                <w:sz w:val="18"/>
                <w:szCs w:val="18"/>
              </w:rPr>
              <w:t xml:space="preserve"> anteilmässig anhand der Nutzung der Räume für die Aktivitäten der Forschung und universitären Lehre aufgeteilt und die Raumkostenanteile auf die Muss-Kostenstelle Forschung und universitäre Lehre verbucht</w:t>
            </w:r>
            <w:r>
              <w:rPr>
                <w:rFonts w:eastAsia="TheMix-HP3Lig" w:cs="Arial"/>
                <w:sz w:val="18"/>
                <w:szCs w:val="18"/>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9.12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Administrative Abbildung von Behandlungen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63028796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Dokumentation der internen Handlungsanweisungen, wie die unterschiedlichen Behandlungen als administrative Fälle abzubilden sind</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lastRenderedPageBreak/>
              <w:t>10</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Die Leistungserfassung</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Kuppelproduktion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sz w:val="18"/>
                <w:szCs w:val="18"/>
              </w:rPr>
            </w:pPr>
            <w:r>
              <w:rPr>
                <w:rFonts w:cs="Arial"/>
                <w:sz w:val="18"/>
                <w:szCs w:val="18"/>
              </w:rPr>
              <w:t>Siehe Kapitel 9.11 Forschung und universitäre Lehre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sz w:val="18"/>
                <w:szCs w:val="18"/>
              </w:rPr>
            </w:pPr>
            <w:r>
              <w:rPr>
                <w:rFonts w:cs="Arial"/>
                <w:b/>
                <w:bCs/>
                <w:sz w:val="18"/>
                <w:szCs w:val="18"/>
              </w:rPr>
              <w:t>Tätigkeiten zum Erwerb eines Doktortitels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sz w:val="18"/>
                <w:szCs w:val="18"/>
              </w:rPr>
            </w:pPr>
            <w:r>
              <w:rPr>
                <w:rFonts w:cs="Arial"/>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sz w:val="18"/>
                <w:szCs w:val="18"/>
              </w:rPr>
            </w:pPr>
            <w:r>
              <w:rPr>
                <w:rFonts w:cs="Arial"/>
                <w:b/>
                <w:bCs/>
                <w:sz w:val="18"/>
                <w:szCs w:val="18"/>
              </w:rPr>
              <w:t>Bildung von Tätigkeitsgruppen zwecks Erfassung der Aktivitäten der Forschung und universitären Lehre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sz w:val="18"/>
                <w:szCs w:val="18"/>
              </w:rPr>
            </w:pPr>
            <w:r>
              <w:rPr>
                <w:rFonts w:cs="Arial"/>
                <w:sz w:val="18"/>
                <w:szCs w:val="18"/>
              </w:rPr>
              <w:t>Siehe Kapitel 9.11 Forschung und universitäre Lehre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Ärzteschaften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47788947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Die Leistungen der Ärzteschaft sind, mit Ausnahme der Aktivität 7, </w:t>
            </w:r>
            <w:r>
              <w:rPr>
                <w:rFonts w:cs="Arial"/>
                <w:color w:val="000000"/>
                <w:sz w:val="18"/>
                <w:szCs w:val="18"/>
              </w:rPr>
              <w:t>kostenträgerbezogen sowie vollständig</w:t>
            </w:r>
            <w:r>
              <w:rPr>
                <w:rFonts w:cs="Arial"/>
                <w:color w:val="000000"/>
                <w:sz w:val="18"/>
                <w:szCs w:val="18"/>
              </w:rPr>
              <w:t xml:space="preserve"> </w:t>
            </w:r>
            <w:r>
              <w:rPr>
                <w:rFonts w:cs="Arial"/>
                <w:color w:val="000000"/>
                <w:sz w:val="18"/>
                <w:szCs w:val="18"/>
              </w:rPr>
              <w:t>in Minuten (Ist- oder Norm-Minuten) oder Taxpunkten erfasst.</w:t>
            </w:r>
          </w:p>
          <w:p>
            <w:pPr>
              <w:autoSpaceDE w:val="0"/>
              <w:autoSpaceDN w:val="0"/>
              <w:adjustRightInd w:val="0"/>
              <w:spacing w:line="276" w:lineRule="auto"/>
              <w:textAlignment w:val="center"/>
              <w:rPr>
                <w:rFonts w:cs="Arial"/>
                <w:color w:val="000000"/>
                <w:sz w:val="18"/>
                <w:szCs w:val="18"/>
              </w:rPr>
            </w:pPr>
          </w:p>
          <w:p>
            <w:pPr>
              <w:autoSpaceDE w:val="0"/>
              <w:autoSpaceDN w:val="0"/>
              <w:adjustRightInd w:val="0"/>
              <w:spacing w:line="276" w:lineRule="auto"/>
              <w:textAlignment w:val="center"/>
              <w:rPr>
                <w:rFonts w:cs="Arial"/>
                <w:color w:val="000000"/>
                <w:sz w:val="18"/>
                <w:szCs w:val="18"/>
              </w:rPr>
            </w:pPr>
            <w:r>
              <w:rPr>
                <w:rFonts w:cs="Arial"/>
                <w:sz w:val="18"/>
                <w:szCs w:val="18"/>
              </w:rPr>
              <w:t>Ab 1. Januar 2018 gilt REK_Entscheid 14_006 (zertifizierungsrelevant ab 1. Januar 2019): werden die Arztleistungen 6</w:t>
            </w:r>
            <w:r>
              <w:rPr>
                <w:rFonts w:cs="Arial"/>
                <w:sz w:val="18"/>
                <w:szCs w:val="18"/>
                <w:vertAlign w:val="subscript"/>
              </w:rPr>
              <w:t>a</w:t>
            </w:r>
            <w:r>
              <w:rPr>
                <w:rFonts w:cs="Arial"/>
                <w:sz w:val="18"/>
                <w:szCs w:val="18"/>
              </w:rPr>
              <w:t xml:space="preserve"> mittels gewichteten (GZF) Ist-Minuten erfasst</w:t>
            </w:r>
            <w:r>
              <w:rPr>
                <w:rFonts w:cs="Arial"/>
                <w:sz w:val="18"/>
                <w:szCs w:val="18"/>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97456952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zur Erfassung der Leistungen gemäss den </w:t>
            </w:r>
            <w:r>
              <w:rPr>
                <w:rFonts w:cs="Arial"/>
                <w:color w:val="000000"/>
                <w:sz w:val="18"/>
                <w:szCs w:val="18"/>
              </w:rPr>
              <w:t>in REKOLE</w:t>
            </w:r>
            <w:r>
              <w:rPr>
                <w:rFonts w:cs="Arial"/>
                <w:color w:val="000000"/>
                <w:sz w:val="18"/>
                <w:szCs w:val="18"/>
                <w:vertAlign w:val="superscript"/>
              </w:rPr>
              <w:t>®</w:t>
            </w:r>
            <w:r>
              <w:rPr>
                <w:rFonts w:cs="Arial"/>
                <w:color w:val="000000"/>
                <w:sz w:val="18"/>
                <w:szCs w:val="18"/>
              </w:rPr>
              <w:t xml:space="preserve"> definierten</w:t>
            </w:r>
            <w:r>
              <w:rPr>
                <w:rFonts w:cs="Arial"/>
                <w:color w:val="000000"/>
                <w:sz w:val="18"/>
                <w:szCs w:val="18"/>
              </w:rPr>
              <w:t xml:space="preserve"> Aktivitätsfeldern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52884084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Ärzteschaften folgender Tätigkeitsbereiche sind mittels ihrer zur Leistungserbringung benötigten technischen Umgebung (Personal und Infrastruktur) verrechnet</w:t>
            </w:r>
          </w:p>
          <w:p>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 xml:space="preserve">Anästhesie </w:t>
            </w:r>
            <w:r>
              <w:rPr>
                <w:rFonts w:cs="Arial"/>
                <w:color w:val="000000"/>
                <w:sz w:val="18"/>
                <w:szCs w:val="18"/>
              </w:rPr>
              <w:tab/>
            </w:r>
            <w:r>
              <w:sym w:font="Wingdings" w:char="F0E0"/>
            </w:r>
            <w:r>
              <w:rPr>
                <w:rFonts w:cs="Arial"/>
                <w:color w:val="000000"/>
                <w:sz w:val="18"/>
                <w:szCs w:val="18"/>
              </w:rPr>
              <w:tab/>
              <w:t>23 Anästhesie</w:t>
            </w:r>
          </w:p>
          <w:p>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 xml:space="preserve">Radiologie usw. </w:t>
            </w:r>
            <w:r>
              <w:rPr>
                <w:rFonts w:cs="Arial"/>
                <w:color w:val="000000"/>
                <w:sz w:val="18"/>
                <w:szCs w:val="18"/>
              </w:rPr>
              <w:tab/>
            </w:r>
            <w:r>
              <w:sym w:font="Wingdings" w:char="F0E0"/>
            </w:r>
            <w:r>
              <w:rPr>
                <w:rFonts w:cs="Arial"/>
                <w:color w:val="000000"/>
                <w:sz w:val="18"/>
                <w:szCs w:val="18"/>
              </w:rPr>
              <w:tab/>
              <w:t>26 Bildgebende Verfahren</w:t>
            </w:r>
          </w:p>
          <w:p>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 xml:space="preserve">Nuklearmedizin usw. </w:t>
            </w:r>
            <w:r>
              <w:rPr>
                <w:rFonts w:cs="Arial"/>
                <w:color w:val="000000"/>
                <w:sz w:val="18"/>
                <w:szCs w:val="18"/>
              </w:rPr>
              <w:tab/>
            </w:r>
            <w:r>
              <w:sym w:font="Wingdings" w:char="F0E0"/>
            </w:r>
            <w:r>
              <w:rPr>
                <w:rFonts w:cs="Arial"/>
                <w:color w:val="000000"/>
                <w:sz w:val="18"/>
                <w:szCs w:val="18"/>
              </w:rPr>
              <w:tab/>
              <w:t>28 Nuklearmedizin und Radioonkologie</w:t>
            </w:r>
          </w:p>
          <w:p>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 xml:space="preserve">Labormedizin </w:t>
            </w:r>
            <w:r>
              <w:rPr>
                <w:rFonts w:cs="Arial"/>
                <w:color w:val="000000"/>
                <w:sz w:val="18"/>
                <w:szCs w:val="18"/>
              </w:rPr>
              <w:tab/>
            </w:r>
            <w:r>
              <w:sym w:font="Wingdings" w:char="F0E0"/>
            </w:r>
            <w:r>
              <w:rPr>
                <w:rFonts w:cs="Arial"/>
                <w:color w:val="000000"/>
                <w:sz w:val="18"/>
                <w:szCs w:val="18"/>
              </w:rPr>
              <w:tab/>
              <w:t>29 Labor</w:t>
            </w:r>
          </w:p>
          <w:p>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Dialysen</w:t>
            </w:r>
            <w:r>
              <w:rPr>
                <w:rFonts w:cs="Arial"/>
                <w:color w:val="000000"/>
                <w:sz w:val="18"/>
                <w:szCs w:val="18"/>
              </w:rPr>
              <w:tab/>
            </w:r>
            <w:r>
              <w:sym w:font="Wingdings" w:char="F0E0"/>
            </w:r>
            <w:r>
              <w:rPr>
                <w:rFonts w:cs="Arial"/>
                <w:color w:val="000000"/>
                <w:sz w:val="18"/>
                <w:szCs w:val="18"/>
              </w:rPr>
              <w:tab/>
              <w:t>30 Dialysen</w:t>
            </w:r>
          </w:p>
          <w:p>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 xml:space="preserve">Pathologie </w:t>
            </w:r>
            <w:r>
              <w:rPr>
                <w:rFonts w:cs="Arial"/>
                <w:color w:val="000000"/>
                <w:sz w:val="18"/>
                <w:szCs w:val="18"/>
              </w:rPr>
              <w:tab/>
            </w:r>
            <w:r>
              <w:sym w:font="Wingdings" w:char="F0E0"/>
            </w:r>
            <w:r>
              <w:rPr>
                <w:rFonts w:cs="Arial"/>
                <w:color w:val="000000"/>
                <w:sz w:val="18"/>
                <w:szCs w:val="18"/>
              </w:rPr>
              <w:tab/>
              <w:t>45 Pathologie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Pflegedienste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441493885"/>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Die Leistungen der Pflege sind </w:t>
            </w:r>
            <w:r>
              <w:rPr>
                <w:rFonts w:cs="Arial"/>
                <w:color w:val="000000"/>
                <w:sz w:val="18"/>
                <w:szCs w:val="18"/>
              </w:rPr>
              <w:t>kostenträgerbezogen sowie vollständig</w:t>
            </w:r>
            <w:r>
              <w:rPr>
                <w:rFonts w:cs="Arial"/>
                <w:color w:val="000000"/>
                <w:sz w:val="18"/>
                <w:szCs w:val="18"/>
              </w:rPr>
              <w:t xml:space="preserve"> </w:t>
            </w:r>
            <w:r>
              <w:rPr>
                <w:rFonts w:cs="Arial"/>
                <w:color w:val="000000"/>
                <w:sz w:val="18"/>
                <w:szCs w:val="18"/>
              </w:rPr>
              <w:t>in Minuten erfasst (Ist- oder Norm-Minuten).</w:t>
            </w:r>
          </w:p>
          <w:p>
            <w:pPr>
              <w:autoSpaceDE w:val="0"/>
              <w:autoSpaceDN w:val="0"/>
              <w:adjustRightInd w:val="0"/>
              <w:spacing w:line="276" w:lineRule="auto"/>
              <w:textAlignment w:val="center"/>
              <w:rPr>
                <w:rFonts w:cs="Arial"/>
                <w:color w:val="000000"/>
                <w:sz w:val="18"/>
                <w:szCs w:val="18"/>
              </w:rPr>
            </w:pPr>
          </w:p>
          <w:p>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Die Leistungserfassung in der Pflege muss kumulativ spital-, fall- und leistungsbezogen erfolgen. Eine verweildauerbezogene und/oder eine auf nationalen Durchschnittswerten normierte Leistungserfassung, ohne Fallbezug, ist nicht zugelassen (REK</w:t>
            </w:r>
            <w:r>
              <w:rPr>
                <w:rFonts w:cs="Arial"/>
                <w:color w:val="005496"/>
                <w:sz w:val="18"/>
                <w:szCs w:val="18"/>
              </w:rPr>
              <w:t xml:space="preserve"> </w:t>
            </w:r>
            <w:r>
              <w:rPr>
                <w:rFonts w:cs="Arial"/>
                <w:color w:val="005496"/>
                <w:sz w:val="18"/>
                <w:szCs w:val="18"/>
              </w:rPr>
              <w:t>16_004).</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Hotellerie-Zimmer</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78549223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Aufzeichnung der periodischen empirischen Erhebung der Gewichtung für die Leistungsermittlung der Muss-Kostenstelle Hotellerie-Zimmer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Medizintechnische und therapeutische Bereiche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08629649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Sämtliche Leistungen der medizintechnischen und therapeutischen Bereiche sind</w:t>
            </w:r>
            <w:r>
              <w:rPr>
                <w:rFonts w:cs="Arial"/>
                <w:color w:val="000000"/>
                <w:sz w:val="18"/>
                <w:szCs w:val="18"/>
              </w:rPr>
              <w:t xml:space="preserve"> kostenträgerbezogen sowie vollständig</w:t>
            </w:r>
            <w:r>
              <w:rPr>
                <w:rFonts w:cs="Arial"/>
                <w:color w:val="000000"/>
                <w:sz w:val="18"/>
                <w:szCs w:val="18"/>
              </w:rPr>
              <w:t xml:space="preserve"> mittels Taxpunkten und/oder in Minuten erfasst und bewertet.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24557823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Für die im OP-Saal ausgeübte Tätigkeit wird die Schnitt-</w:t>
            </w:r>
            <w:r>
              <w:rPr>
                <w:rFonts w:cs="Arial"/>
                <w:color w:val="000000"/>
                <w:sz w:val="18"/>
                <w:szCs w:val="18"/>
              </w:rPr>
              <w:t>/</w:t>
            </w:r>
            <w:r>
              <w:rPr>
                <w:rFonts w:cs="Arial"/>
                <w:color w:val="000000"/>
                <w:sz w:val="18"/>
                <w:szCs w:val="18"/>
              </w:rPr>
              <w:t>Nahtzeit verwendet.</w:t>
            </w:r>
          </w:p>
          <w:p>
            <w:pPr>
              <w:rPr>
                <w:rFonts w:cs="Arial"/>
                <w:sz w:val="18"/>
                <w:szCs w:val="18"/>
              </w:rPr>
            </w:pPr>
          </w:p>
          <w:p>
            <w:pPr>
              <w:rPr>
                <w:rFonts w:cs="Arial"/>
                <w:sz w:val="18"/>
                <w:szCs w:val="18"/>
              </w:rPr>
            </w:pPr>
            <w:r>
              <w:rPr>
                <w:rFonts w:cs="Arial"/>
                <w:sz w:val="18"/>
                <w:szCs w:val="18"/>
              </w:rPr>
              <w:lastRenderedPageBreak/>
              <w:t>Ab 1. Januar 2018 gilt REK_Entscheid 14_006</w:t>
            </w:r>
            <w:r>
              <w:rPr>
                <w:rFonts w:cs="Arial"/>
                <w:sz w:val="18"/>
                <w:szCs w:val="18"/>
              </w:rPr>
              <w:t xml:space="preserve"> (zertifizierungsrelevant ab 1. Januar </w:t>
            </w:r>
            <w:r>
              <w:rPr>
                <w:rFonts w:cs="Arial"/>
                <w:sz w:val="18"/>
                <w:szCs w:val="18"/>
              </w:rPr>
              <w:t>2019):</w:t>
            </w:r>
          </w:p>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w:t>
            </w:r>
            <w:r>
              <w:rPr>
                <w:rFonts w:cs="Arial"/>
                <w:color w:val="000000"/>
                <w:sz w:val="18"/>
                <w:szCs w:val="18"/>
              </w:rPr>
              <w:t xml:space="preserve">: </w:t>
            </w:r>
            <w:r>
              <w:rPr>
                <w:rFonts w:eastAsia="TheMix-HP3Lig" w:cs="Arial"/>
                <w:sz w:val="18"/>
                <w:szCs w:val="18"/>
              </w:rPr>
              <w:t xml:space="preserve"> die im OP-Saal ausgeübten Tätigkeiten</w:t>
            </w:r>
            <w:r>
              <w:rPr>
                <w:rFonts w:eastAsia="TheMix-HP3Lig" w:cs="Arial"/>
                <w:sz w:val="18"/>
                <w:szCs w:val="18"/>
              </w:rPr>
              <w:t xml:space="preserve"> werden</w:t>
            </w:r>
            <w:r>
              <w:rPr>
                <w:rFonts w:eastAsia="TheMix-HP3Lig" w:cs="Arial"/>
                <w:sz w:val="18"/>
                <w:szCs w:val="18"/>
              </w:rPr>
              <w:t xml:space="preserve"> mittels </w:t>
            </w:r>
            <w:r>
              <w:rPr>
                <w:rFonts w:eastAsia="TheMix-HP3Lig" w:cs="Arial"/>
                <w:sz w:val="18"/>
                <w:szCs w:val="18"/>
              </w:rPr>
              <w:t>Ist-M</w:t>
            </w:r>
            <w:r>
              <w:rPr>
                <w:rFonts w:eastAsia="TheMix-HP3Lig" w:cs="Arial"/>
                <w:sz w:val="18"/>
                <w:szCs w:val="18"/>
              </w:rPr>
              <w:t>inuten gemäss der von REKOLE</w:t>
            </w:r>
            <w:r>
              <w:rPr>
                <w:rFonts w:eastAsia="TheMix-HP3Lig" w:cs="Arial"/>
                <w:sz w:val="18"/>
                <w:szCs w:val="18"/>
                <w:vertAlign w:val="superscript"/>
              </w:rPr>
              <w:t>®</w:t>
            </w:r>
            <w:r>
              <w:rPr>
                <w:rFonts w:eastAsia="TheMix-HP3Lig" w:cs="Arial"/>
                <w:sz w:val="18"/>
                <w:szCs w:val="18"/>
              </w:rPr>
              <w:t xml:space="preserve"> definierten Zeitspanne vollständig erfasst?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br w:type="page"/>
            </w:r>
            <w:sdt>
              <w:sdtPr>
                <w:rPr>
                  <w:rFonts w:cs="Arial"/>
                  <w:color w:val="000000"/>
                  <w:sz w:val="18"/>
                  <w:szCs w:val="18"/>
                </w:rPr>
                <w:id w:val="-152092546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Für die Anästhesie wird die Ein-/Ausleitung inkl. Aufwachzeit angewendet.</w:t>
            </w:r>
          </w:p>
          <w:p>
            <w:pPr>
              <w:rPr>
                <w:rFonts w:cs="Arial"/>
                <w:sz w:val="18"/>
                <w:szCs w:val="18"/>
              </w:rPr>
            </w:pPr>
          </w:p>
          <w:p>
            <w:pPr>
              <w:rPr>
                <w:rFonts w:cs="Arial"/>
                <w:sz w:val="18"/>
                <w:szCs w:val="18"/>
              </w:rPr>
            </w:pPr>
            <w:r>
              <w:rPr>
                <w:rFonts w:cs="Arial"/>
                <w:sz w:val="18"/>
                <w:szCs w:val="18"/>
              </w:rPr>
              <w:t>Ab 1. Januar 2018 gilt REK_Entscheid 14_006</w:t>
            </w:r>
            <w:r>
              <w:rPr>
                <w:rFonts w:cs="Arial"/>
                <w:sz w:val="18"/>
                <w:szCs w:val="18"/>
              </w:rPr>
              <w:t xml:space="preserve"> (zertifizierungsrelevant ab 1. Januar </w:t>
            </w:r>
            <w:r>
              <w:rPr>
                <w:rFonts w:cs="Arial"/>
                <w:sz w:val="18"/>
                <w:szCs w:val="18"/>
              </w:rPr>
              <w:t>2019):</w:t>
            </w:r>
          </w:p>
          <w:p>
            <w:pPr>
              <w:autoSpaceDE w:val="0"/>
              <w:autoSpaceDN w:val="0"/>
              <w:adjustRightInd w:val="0"/>
              <w:spacing w:line="276" w:lineRule="auto"/>
              <w:textAlignment w:val="center"/>
              <w:rPr>
                <w:rFonts w:cs="Arial"/>
                <w:color w:val="000000"/>
                <w:sz w:val="18"/>
                <w:szCs w:val="18"/>
              </w:rPr>
            </w:pPr>
            <w:r>
              <w:rPr>
                <w:rFonts w:cs="Arial"/>
                <w:sz w:val="18"/>
                <w:szCs w:val="18"/>
              </w:rPr>
              <w:t xml:space="preserve">Überprüfung: </w:t>
            </w:r>
            <w:r>
              <w:rPr>
                <w:rFonts w:eastAsia="TheMix-HP3Lig" w:cs="Arial"/>
                <w:sz w:val="18"/>
                <w:szCs w:val="18"/>
              </w:rPr>
              <w:t xml:space="preserve">die OP-Saal </w:t>
            </w:r>
            <w:r>
              <w:rPr>
                <w:rFonts w:eastAsia="TheMix-HP3Lig" w:cs="Arial"/>
                <w:sz w:val="18"/>
                <w:szCs w:val="18"/>
              </w:rPr>
              <w:t xml:space="preserve">bezogenen und nicht OP-Saal bezogenen Anästhesieleistungen </w:t>
            </w:r>
            <w:r>
              <w:rPr>
                <w:rFonts w:eastAsia="TheMix-HP3Lig" w:cs="Arial"/>
                <w:sz w:val="18"/>
                <w:szCs w:val="18"/>
              </w:rPr>
              <w:t xml:space="preserve">werden </w:t>
            </w:r>
            <w:r>
              <w:rPr>
                <w:rFonts w:eastAsia="TheMix-HP3Lig" w:cs="Arial"/>
                <w:sz w:val="18"/>
                <w:szCs w:val="18"/>
              </w:rPr>
              <w:t xml:space="preserve">mittels </w:t>
            </w:r>
            <w:r>
              <w:rPr>
                <w:rFonts w:eastAsia="TheMix-HP3Lig" w:cs="Arial"/>
                <w:sz w:val="18"/>
                <w:szCs w:val="18"/>
              </w:rPr>
              <w:t>Ist-</w:t>
            </w:r>
            <w:r>
              <w:rPr>
                <w:rFonts w:eastAsia="TheMix-HP3Lig" w:cs="Arial"/>
                <w:sz w:val="18"/>
                <w:szCs w:val="18"/>
              </w:rPr>
              <w:t>Minuten gemäss der von REKOLE</w:t>
            </w:r>
            <w:r>
              <w:rPr>
                <w:rFonts w:eastAsia="TheMix-HP3Lig" w:cs="Arial"/>
                <w:sz w:val="18"/>
                <w:szCs w:val="18"/>
                <w:vertAlign w:val="superscript"/>
              </w:rPr>
              <w:t>®</w:t>
            </w:r>
            <w:r>
              <w:rPr>
                <w:rFonts w:eastAsia="TheMix-HP3Lig" w:cs="Arial"/>
                <w:sz w:val="18"/>
                <w:szCs w:val="18"/>
              </w:rPr>
              <w:t xml:space="preserve"> definierten Zeitspanne vollständig erfasst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Dienstleistende Bereiche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725942515"/>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Für die dienstleistende Muss-Kostenstelle 08 Support und Service werden die Leistungen mindestens mittels Arbeitsrapporten (Kostenblock A) und pro Anschluss (Kostenblock B und C) erfasst.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589"/>
        </w:trPr>
        <w:sdt>
          <w:sdtPr>
            <w:rPr>
              <w:rFonts w:cs="Arial"/>
              <w:color w:val="000000"/>
              <w:sz w:val="18"/>
              <w:szCs w:val="18"/>
            </w:rPr>
            <w:id w:val="110030562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Für die dienstleistende Muss-Kostenstelle 09 Gemeinschaftlich genutzte Sekretariate werden die Leistungen mindestens mittels normativer Zeit nach Auftraggeber erfasst.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26406795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Für die Muss-Kostenstelle 05 Reinigung sind die Leistungen mindestens mittels m</w:t>
            </w:r>
            <w:r>
              <w:rPr>
                <w:rFonts w:cs="Arial"/>
                <w:color w:val="000000"/>
                <w:sz w:val="18"/>
                <w:szCs w:val="18"/>
                <w:vertAlign w:val="superscript"/>
              </w:rPr>
              <w:t>2</w:t>
            </w:r>
            <w:r>
              <w:rPr>
                <w:rFonts w:cs="Arial"/>
                <w:color w:val="000000"/>
                <w:sz w:val="18"/>
                <w:szCs w:val="18"/>
              </w:rPr>
              <w:t>-Reinigungsfläche erfasst.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 xml:space="preserve">Medikamente, Implantate, Blut, Material usw.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sz w:val="18"/>
                <w:szCs w:val="18"/>
              </w:rPr>
            </w:pPr>
            <w:r>
              <w:rPr>
                <w:rFonts w:cs="Arial"/>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6"/>
                <w:szCs w:val="16"/>
              </w:rPr>
            </w:pPr>
            <w:r>
              <w:rPr>
                <w:rFonts w:cs="Arial"/>
                <w:b/>
                <w:bCs/>
                <w:color w:val="000000"/>
                <w:sz w:val="16"/>
                <w:szCs w:val="16"/>
              </w:rPr>
              <w:t>10.10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Fremdrechnungen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577"/>
        </w:trPr>
        <w:sdt>
          <w:sdtPr>
            <w:rPr>
              <w:rFonts w:cs="Arial"/>
              <w:color w:val="000000"/>
              <w:sz w:val="18"/>
              <w:szCs w:val="18"/>
            </w:rPr>
            <w:id w:val="167977176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patientenbezogenen Fremdrechnungen sind als Einzelkosten direkt dem Kostenträger zugeordnet.</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Eine statistische Erfassung der Fremdrechnung auf einer Kalkulationskostenstelle oder der betroffenen Muss-Kostenstelle ist zulässig. Bei Patiententransporten ist zu beachten, dass die Primärtransporte nicht dem Kostenträger des Spitals (admin. Fall), sondern direkt dem Patienten verrechnet werden.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26954167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nicht patientenbezogenen Fremdrechnungen (Reinigungsdienst, technischer Dienst usw.) werden den verursachenden Kostenstellen belastet.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lastRenderedPageBreak/>
              <w:t>11</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Auswertungen</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trPr>
          <w:trHeight w:val="60"/>
        </w:trPr>
        <w:tc>
          <w:tcPr>
            <w:tcW w:w="9886" w:type="dxa"/>
            <w:gridSpan w:val="3"/>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Die Kostenträgerfallrechnung, die Kostenträgerzeitrechnung, die Erlösfallrechnung und die Erlöszeitrechnung müssen nicht allesamt erstellt werden. Wird jedoch eine der Auswertungen gemacht, so ist diese zu dokumentieren, insbesondere ist auch die Periodizität anzugeben.   </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11.6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Die Verdichtungskriterien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09166530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der Grundsätze, nach denen die Verdichtungskriterien erfolgten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11.7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Vorhalteleistungen für den Notfall</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10"/>
        </w:trPr>
        <w:sdt>
          <w:sdtPr>
            <w:rPr>
              <w:rFonts w:cs="Arial"/>
              <w:color w:val="000000"/>
              <w:sz w:val="18"/>
              <w:szCs w:val="18"/>
            </w:rPr>
            <w:id w:val="83064428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Dokumentation der Definition und Finanzierung der Vorhalteleistungen für den Notfall und die Aufrechterhaltung von Spitalkapazitäten aus regionalpolitischen Gründen in der Institution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86301503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cs="Arial"/>
                <w:color w:val="000000"/>
                <w:sz w:val="18"/>
                <w:szCs w:val="18"/>
              </w:rPr>
              <w:t>Ist sichergestellt, dass die Vorhalteleistungen für den Notfall nicht kostenmindernd verbucht werden? (Einhaltung des Bruttoprinzips)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p>
    <w:sectPr>
      <w:headerReference w:type="even" r:id="rId8"/>
      <w:headerReference w:type="default" r:id="rId9"/>
      <w:footerReference w:type="even" r:id="rId10"/>
      <w:footerReference w:type="default" r:id="rId11"/>
      <w:headerReference w:type="first" r:id="rId12"/>
      <w:footerReference w:type="first" r:id="rId13"/>
      <w:pgSz w:w="11906" w:h="16838" w:code="9"/>
      <w:pgMar w:top="851" w:right="1021" w:bottom="1418" w:left="153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ulo Bold">
    <w:panose1 w:val="02000000000000000000"/>
    <w:charset w:val="00"/>
    <w:family w:val="modern"/>
    <w:notTrueType/>
    <w:pitch w:val="variable"/>
    <w:sig w:usb0="A00000FF" w:usb1="5001207B" w:usb2="00000010" w:usb3="00000000" w:csb0="0000009B" w:csb1="00000000"/>
  </w:font>
  <w:font w:name="Bulo Regular">
    <w:panose1 w:val="02000000000000000000"/>
    <w:charset w:val="00"/>
    <w:family w:val="modern"/>
    <w:notTrueType/>
    <w:pitch w:val="variable"/>
    <w:sig w:usb0="A00000FF" w:usb1="5001207B" w:usb2="00000010" w:usb3="00000000" w:csb0="0000009B" w:csb1="00000000"/>
  </w:font>
  <w:font w:name="TheMix B7 Bold">
    <w:panose1 w:val="00000000000000000000"/>
    <w:charset w:val="00"/>
    <w:family w:val="swiss"/>
    <w:notTrueType/>
    <w:pitch w:val="variable"/>
    <w:sig w:usb0="00000083" w:usb1="00000000" w:usb2="00000000" w:usb3="00000000" w:csb0="00000009" w:csb1="00000000"/>
  </w:font>
  <w:font w:name="Bulo Light">
    <w:panose1 w:val="02000000000000000000"/>
    <w:charset w:val="00"/>
    <w:family w:val="modern"/>
    <w:notTrueType/>
    <w:pitch w:val="variable"/>
    <w:sig w:usb0="A00000FF" w:usb1="5001207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heMix-HP3Lig">
    <w:altName w:val="MS Gothic"/>
    <w:panose1 w:val="00000000000000000000"/>
    <w:charset w:val="80"/>
    <w:family w:val="swiss"/>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rPr>
        <w:szCs w:val="16"/>
      </w:rPr>
    </w:pPr>
  </w:p>
  <w:p>
    <w:pPr>
      <w:pStyle w:val="Fuzeile"/>
      <w:rPr>
        <w:szCs w:val="16"/>
      </w:rPr>
    </w:pPr>
  </w:p>
  <w:p>
    <w:pPr>
      <w:pStyle w:val="Fuzeile"/>
      <w:rPr>
        <w:szCs w:val="16"/>
      </w:rPr>
    </w:pPr>
  </w:p>
  <w:p>
    <w:pPr>
      <w:pStyle w:val="Fuzeile"/>
      <w:rPr>
        <w:szCs w:val="16"/>
      </w:rPr>
    </w:pPr>
  </w:p>
  <w:p>
    <w:pPr>
      <w:pStyle w:val="Fuzeile"/>
      <w:rPr>
        <w:szCs w:val="16"/>
      </w:rPr>
    </w:pPr>
  </w:p>
  <w:p>
    <w:pPr>
      <w:tabs>
        <w:tab w:val="right" w:pos="9356"/>
      </w:tabs>
      <w:rPr>
        <w:noProof/>
        <w:sz w:val="16"/>
        <w:szCs w:val="16"/>
        <w:lang w:val="it-IT"/>
      </w:rPr>
    </w:pPr>
    <w:r>
      <w:rPr>
        <w:noProof/>
        <w:sz w:val="16"/>
        <w:szCs w:val="16"/>
        <w:lang w:val="it-IT"/>
      </w:rPr>
      <w:t xml:space="preserve">H+   Die Spitäler der Schweiz  I  Les Hôpitaux de Suisse  I  </w:t>
    </w:r>
    <w:r>
      <w:rPr>
        <w:noProof/>
        <w:sz w:val="16"/>
        <w:szCs w:val="16"/>
        <w:lang w:val="it-IT"/>
      </w:rPr>
      <w:t>Gli Ospedali Svizzeri</w:t>
    </w:r>
    <w:r>
      <w:rPr>
        <w:noProof/>
        <w:sz w:val="16"/>
        <w:szCs w:val="16"/>
        <w:lang w:val="it-IT"/>
      </w:rPr>
      <w:tab/>
      <w:t xml:space="preserve">Seite </w:t>
    </w:r>
    <w:r>
      <w:rPr>
        <w:noProof/>
        <w:sz w:val="16"/>
      </w:rPr>
      <w:fldChar w:fldCharType="begin"/>
    </w:r>
    <w:r>
      <w:rPr>
        <w:noProof/>
        <w:sz w:val="16"/>
        <w:lang w:val="it-IT"/>
      </w:rPr>
      <w:instrText xml:space="preserve"> PAGE </w:instrText>
    </w:r>
    <w:r>
      <w:rPr>
        <w:noProof/>
        <w:sz w:val="16"/>
      </w:rPr>
      <w:fldChar w:fldCharType="separate"/>
    </w:r>
    <w:r>
      <w:rPr>
        <w:noProof/>
        <w:sz w:val="16"/>
        <w:lang w:val="it-IT"/>
      </w:rPr>
      <w:t>14</w:t>
    </w:r>
    <w:r>
      <w:rPr>
        <w:noProof/>
        <w:sz w:val="16"/>
      </w:rPr>
      <w:fldChar w:fldCharType="end"/>
    </w:r>
    <w:r>
      <w:rPr>
        <w:noProof/>
        <w:sz w:val="16"/>
        <w:lang w:val="it-IT"/>
      </w:rPr>
      <w:t>/</w:t>
    </w:r>
    <w:r>
      <w:rPr>
        <w:noProof/>
        <w:sz w:val="16"/>
      </w:rPr>
      <w:fldChar w:fldCharType="begin"/>
    </w:r>
    <w:r>
      <w:rPr>
        <w:noProof/>
        <w:sz w:val="16"/>
        <w:lang w:val="it-IT"/>
      </w:rPr>
      <w:instrText xml:space="preserve"> NUMPAGES </w:instrText>
    </w:r>
    <w:r>
      <w:rPr>
        <w:noProof/>
        <w:sz w:val="16"/>
      </w:rPr>
      <w:fldChar w:fldCharType="separate"/>
    </w:r>
    <w:r>
      <w:rPr>
        <w:noProof/>
        <w:sz w:val="16"/>
        <w:lang w:val="it-IT"/>
      </w:rPr>
      <w:t>16</w:t>
    </w:r>
    <w:r>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drawing>
        <wp:anchor distT="0" distB="0" distL="114300" distR="114300" simplePos="0" relativeHeight="251657216" behindDoc="1" locked="0" layoutInCell="1" allowOverlap="1" wp14:anchorId="15EBF2CC" wp14:editId="17CE2E77">
          <wp:simplePos x="0" y="0"/>
          <wp:positionH relativeFrom="column">
            <wp:posOffset>-434975</wp:posOffset>
          </wp:positionH>
          <wp:positionV relativeFrom="paragraph">
            <wp:posOffset>110490</wp:posOffset>
          </wp:positionV>
          <wp:extent cx="3023870" cy="539750"/>
          <wp:effectExtent l="0" t="0" r="5080" b="0"/>
          <wp:wrapThrough wrapText="bothSides">
            <wp:wrapPolygon edited="0">
              <wp:start x="0" y="0"/>
              <wp:lineTo x="0" y="20584"/>
              <wp:lineTo x="21500" y="20584"/>
              <wp:lineTo x="2150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Claim_50K_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870" cy="539750"/>
                  </a:xfrm>
                  <a:prstGeom prst="rect">
                    <a:avLst/>
                  </a:prstGeom>
                </pic:spPr>
              </pic:pic>
            </a:graphicData>
          </a:graphic>
          <wp14:sizeRelH relativeFrom="margin">
            <wp14:pctWidth>0</wp14:pctWidth>
          </wp14:sizeRelH>
          <wp14:sizeRelV relativeFrom="margin">
            <wp14:pctHeight>0</wp14:pctHeight>
          </wp14:sizeRelV>
        </wp:anchor>
      </w:drawing>
    </w:r>
  </w:p>
  <w:p>
    <w:pPr>
      <w:pStyle w:val="Fuzeile"/>
    </w:pPr>
    <w:r>
      <w:drawing>
        <wp:anchor distT="0" distB="0" distL="114300" distR="114300" simplePos="0" relativeHeight="251658240" behindDoc="1" locked="0" layoutInCell="1" allowOverlap="1" wp14:anchorId="5BD9411A" wp14:editId="38A3734A">
          <wp:simplePos x="0" y="0"/>
          <wp:positionH relativeFrom="column">
            <wp:posOffset>3660140</wp:posOffset>
          </wp:positionH>
          <wp:positionV relativeFrom="paragraph">
            <wp:posOffset>43815</wp:posOffset>
          </wp:positionV>
          <wp:extent cx="2224405" cy="419735"/>
          <wp:effectExtent l="0" t="0" r="4445" b="0"/>
          <wp:wrapThrough wrapText="bothSides">
            <wp:wrapPolygon edited="0">
              <wp:start x="0" y="0"/>
              <wp:lineTo x="0" y="20587"/>
              <wp:lineTo x="21458" y="20587"/>
              <wp:lineTo x="21458"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Adresszeile_100K_2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4405" cy="419735"/>
                  </a:xfrm>
                  <a:prstGeom prst="rect">
                    <a:avLst/>
                  </a:prstGeom>
                </pic:spPr>
              </pic:pic>
            </a:graphicData>
          </a:graphic>
          <wp14:sizeRelH relativeFrom="margin">
            <wp14:pctWidth>0</wp14:pctWidth>
          </wp14:sizeRelH>
          <wp14:sizeRelV relativeFrom="margin">
            <wp14:pctHeight>0</wp14:pctHeight>
          </wp14:sizeRelV>
        </wp:anchor>
      </w:drawing>
    </w:r>
  </w:p>
  <w:p>
    <w:pPr>
      <w:pStyle w:val="Fuzeile"/>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autoSpaceDE w:val="0"/>
        <w:autoSpaceDN w:val="0"/>
        <w:adjustRightInd w:val="0"/>
        <w:spacing w:line="276" w:lineRule="auto"/>
        <w:rPr>
          <w:rFonts w:cs="Arial"/>
          <w:sz w:val="16"/>
          <w:szCs w:val="16"/>
        </w:rPr>
      </w:pPr>
      <w:r>
        <w:rPr>
          <w:rStyle w:val="Funotenzeichen"/>
        </w:rPr>
        <w:footnoteRef/>
      </w:r>
      <w:r>
        <w:t xml:space="preserve"> </w:t>
      </w:r>
      <w:r>
        <w:rPr>
          <w:rFonts w:cs="Arial"/>
          <w:sz w:val="16"/>
          <w:szCs w:val="16"/>
        </w:rPr>
        <w:t>Folgende universitäre Medizinialberufe sind heute definiert (Art. 2 Abs. 1 MedBG):</w:t>
      </w:r>
    </w:p>
    <w:p>
      <w:pPr>
        <w:pStyle w:val="Listenabsatz"/>
        <w:numPr>
          <w:ilvl w:val="0"/>
          <w:numId w:val="38"/>
        </w:numPr>
        <w:autoSpaceDE w:val="0"/>
        <w:autoSpaceDN w:val="0"/>
        <w:adjustRightInd w:val="0"/>
        <w:spacing w:line="276" w:lineRule="auto"/>
        <w:ind w:left="142" w:hanging="142"/>
        <w:rPr>
          <w:rFonts w:cs="Arial"/>
          <w:sz w:val="16"/>
          <w:szCs w:val="16"/>
        </w:rPr>
      </w:pPr>
      <w:r>
        <w:rPr>
          <w:rFonts w:cs="Arial"/>
          <w:sz w:val="16"/>
          <w:szCs w:val="16"/>
        </w:rPr>
        <w:t>Ärztinnen und Ärzte</w:t>
      </w:r>
    </w:p>
    <w:p>
      <w:pPr>
        <w:pStyle w:val="Listenabsatz"/>
        <w:numPr>
          <w:ilvl w:val="0"/>
          <w:numId w:val="38"/>
        </w:numPr>
        <w:autoSpaceDE w:val="0"/>
        <w:autoSpaceDN w:val="0"/>
        <w:adjustRightInd w:val="0"/>
        <w:spacing w:line="276" w:lineRule="auto"/>
        <w:ind w:left="142" w:hanging="142"/>
        <w:rPr>
          <w:rFonts w:cs="Arial"/>
          <w:sz w:val="16"/>
          <w:szCs w:val="16"/>
        </w:rPr>
      </w:pPr>
      <w:r>
        <w:rPr>
          <w:rFonts w:cs="Arial"/>
          <w:sz w:val="16"/>
          <w:szCs w:val="16"/>
        </w:rPr>
        <w:t>Zahnärztinnen und Zahnärzte</w:t>
      </w:r>
    </w:p>
    <w:p>
      <w:pPr>
        <w:pStyle w:val="Listenabsatz"/>
        <w:numPr>
          <w:ilvl w:val="0"/>
          <w:numId w:val="38"/>
        </w:numPr>
        <w:autoSpaceDE w:val="0"/>
        <w:autoSpaceDN w:val="0"/>
        <w:adjustRightInd w:val="0"/>
        <w:spacing w:line="276" w:lineRule="auto"/>
        <w:ind w:left="142" w:hanging="142"/>
        <w:rPr>
          <w:rFonts w:cs="Arial"/>
          <w:sz w:val="16"/>
          <w:szCs w:val="16"/>
        </w:rPr>
      </w:pPr>
      <w:r>
        <w:rPr>
          <w:rFonts w:cs="Arial"/>
          <w:sz w:val="16"/>
          <w:szCs w:val="16"/>
        </w:rPr>
        <w:t>Chiropraktiorinnen und Chiropraktoren</w:t>
      </w:r>
    </w:p>
    <w:p>
      <w:pPr>
        <w:pStyle w:val="Listenabsatz"/>
        <w:numPr>
          <w:ilvl w:val="0"/>
          <w:numId w:val="38"/>
        </w:numPr>
        <w:autoSpaceDE w:val="0"/>
        <w:autoSpaceDN w:val="0"/>
        <w:adjustRightInd w:val="0"/>
        <w:spacing w:line="276" w:lineRule="auto"/>
        <w:ind w:left="142" w:hanging="142"/>
        <w:rPr>
          <w:rFonts w:cs="Arial"/>
          <w:sz w:val="16"/>
          <w:szCs w:val="16"/>
        </w:rPr>
      </w:pPr>
      <w:r>
        <w:rPr>
          <w:rFonts w:cs="Arial"/>
          <w:sz w:val="16"/>
          <w:szCs w:val="16"/>
        </w:rPr>
        <w:t xml:space="preserve">Apothekerinnen und </w:t>
      </w:r>
      <w:r>
        <w:rPr>
          <w:rFonts w:cs="Arial"/>
          <w:sz w:val="16"/>
          <w:szCs w:val="16"/>
        </w:rPr>
        <w:t>Apotheker</w:t>
      </w:r>
    </w:p>
    <w:p>
      <w:pPr>
        <w:pStyle w:val="Listenabsatz"/>
        <w:numPr>
          <w:ilvl w:val="0"/>
          <w:numId w:val="38"/>
        </w:numPr>
        <w:autoSpaceDE w:val="0"/>
        <w:autoSpaceDN w:val="0"/>
        <w:adjustRightInd w:val="0"/>
        <w:spacing w:line="276" w:lineRule="auto"/>
        <w:ind w:left="142" w:hanging="142"/>
        <w:rPr>
          <w:rFonts w:cs="Arial"/>
          <w:sz w:val="18"/>
          <w:szCs w:val="18"/>
        </w:rPr>
      </w:pPr>
      <w:r>
        <w:rPr>
          <w:rFonts w:cs="Arial"/>
          <w:sz w:val="16"/>
          <w:szCs w:val="16"/>
        </w:rPr>
        <w:t>Tierärztinnen und Tierärzte</w:t>
      </w:r>
      <w:r>
        <w:rPr>
          <w:rFonts w:cs="Arial"/>
          <w:sz w:val="18"/>
          <w:szCs w:val="18"/>
        </w:rPr>
        <w:t>.</w:t>
      </w:r>
    </w:p>
    <w:p>
      <w:pPr>
        <w:pStyle w:val="Funotentext"/>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940"/>
      </w:tabs>
    </w:pPr>
    <w:bookmarkStart w:id="1" w:name="BkmLayout"/>
    <w:r>
      <w:drawing>
        <wp:anchor distT="0" distB="0" distL="114300" distR="114300" simplePos="0" relativeHeight="251656192" behindDoc="1" locked="0" layoutInCell="1" allowOverlap="1" wp14:anchorId="3A532CBC" wp14:editId="23E7FD45">
          <wp:simplePos x="0" y="0"/>
          <wp:positionH relativeFrom="column">
            <wp:posOffset>-342900</wp:posOffset>
          </wp:positionH>
          <wp:positionV relativeFrom="paragraph">
            <wp:posOffset>-183515</wp:posOffset>
          </wp:positionV>
          <wp:extent cx="1732915" cy="1086485"/>
          <wp:effectExtent l="0" t="0" r="635" b="0"/>
          <wp:wrapNone/>
          <wp:docPr id="26" name="Bild 26" descr="Z:\Allgemein\Kommunikation\Corporate Design H+\Logo\H+_Logo_Zusat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Allgemein\Kommunikation\Corporate Design H+\Logo\H+_Logo_Zusatz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bookmarkEnd w:id="1"/>
  <w:p>
    <w:pPr>
      <w:pStyle w:val="Kopfzeile"/>
      <w:tabs>
        <w:tab w:val="left" w:pos="5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19CBC0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64F4B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EE4356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8B4F8C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62460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800DE"/>
    <w:multiLevelType w:val="hybridMultilevel"/>
    <w:tmpl w:val="0724543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41F3FF3"/>
    <w:multiLevelType w:val="hybridMultilevel"/>
    <w:tmpl w:val="01705D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4AC79BA"/>
    <w:multiLevelType w:val="multilevel"/>
    <w:tmpl w:val="BFA21ED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DB15EF3"/>
    <w:multiLevelType w:val="hybridMultilevel"/>
    <w:tmpl w:val="DA104D4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E271257"/>
    <w:multiLevelType w:val="hybridMultilevel"/>
    <w:tmpl w:val="9BC0BEA0"/>
    <w:lvl w:ilvl="0" w:tplc="66D6986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E8C5583"/>
    <w:multiLevelType w:val="hybridMultilevel"/>
    <w:tmpl w:val="87844642"/>
    <w:lvl w:ilvl="0" w:tplc="08070005">
      <w:start w:val="1"/>
      <w:numFmt w:val="bullet"/>
      <w:lvlText w:val=""/>
      <w:lvlJc w:val="left"/>
      <w:pPr>
        <w:ind w:left="720" w:hanging="360"/>
      </w:pPr>
      <w:rPr>
        <w:rFonts w:ascii="Wingdings" w:hAnsi="Wingdings" w:hint="default"/>
        <w:color w:val="00529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F42CC5"/>
    <w:multiLevelType w:val="hybridMultilevel"/>
    <w:tmpl w:val="5C76A4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65271CD"/>
    <w:multiLevelType w:val="hybridMultilevel"/>
    <w:tmpl w:val="31446F5C"/>
    <w:lvl w:ilvl="0" w:tplc="08070005">
      <w:start w:val="1"/>
      <w:numFmt w:val="bullet"/>
      <w:lvlText w:val=""/>
      <w:lvlJc w:val="left"/>
      <w:pPr>
        <w:ind w:left="720" w:hanging="360"/>
      </w:pPr>
      <w:rPr>
        <w:rFonts w:ascii="Wingdings" w:hAnsi="Wingdings" w:hint="default"/>
        <w:color w:val="00529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AE3984"/>
    <w:multiLevelType w:val="hybridMultilevel"/>
    <w:tmpl w:val="5426B8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9AE4EDC"/>
    <w:multiLevelType w:val="hybridMultilevel"/>
    <w:tmpl w:val="4C3E736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E43832"/>
    <w:multiLevelType w:val="hybridMultilevel"/>
    <w:tmpl w:val="203E464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ACD47B2"/>
    <w:multiLevelType w:val="hybridMultilevel"/>
    <w:tmpl w:val="92F67AA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6155D1"/>
    <w:multiLevelType w:val="hybridMultilevel"/>
    <w:tmpl w:val="09820B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871757F"/>
    <w:multiLevelType w:val="hybridMultilevel"/>
    <w:tmpl w:val="132C052C"/>
    <w:lvl w:ilvl="0" w:tplc="E1841662">
      <w:start w:val="1"/>
      <w:numFmt w:val="bullet"/>
      <w:lvlText w:val=""/>
      <w:lvlJc w:val="left"/>
      <w:pPr>
        <w:ind w:left="1080" w:hanging="360"/>
      </w:pPr>
      <w:rPr>
        <w:rFonts w:ascii="Wingdings" w:hAnsi="Wingdings" w:hint="default"/>
        <w:color w:val="1F497D" w:themeColor="text2"/>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15:restartNumberingAfterBreak="0">
    <w:nsid w:val="388329ED"/>
    <w:multiLevelType w:val="hybridMultilevel"/>
    <w:tmpl w:val="3B429DA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9065289"/>
    <w:multiLevelType w:val="hybridMultilevel"/>
    <w:tmpl w:val="35FEABA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B65629F"/>
    <w:multiLevelType w:val="hybridMultilevel"/>
    <w:tmpl w:val="7A50D9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D390306"/>
    <w:multiLevelType w:val="hybridMultilevel"/>
    <w:tmpl w:val="7AA6D2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2725BA"/>
    <w:multiLevelType w:val="hybridMultilevel"/>
    <w:tmpl w:val="391087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28233F5"/>
    <w:multiLevelType w:val="hybridMultilevel"/>
    <w:tmpl w:val="EFDC55F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3427890"/>
    <w:multiLevelType w:val="hybridMultilevel"/>
    <w:tmpl w:val="E0546FF0"/>
    <w:lvl w:ilvl="0" w:tplc="08070005">
      <w:start w:val="1"/>
      <w:numFmt w:val="bullet"/>
      <w:lvlText w:val=""/>
      <w:lvlJc w:val="left"/>
      <w:pPr>
        <w:ind w:left="720" w:hanging="360"/>
      </w:pPr>
      <w:rPr>
        <w:rFonts w:ascii="Wingdings" w:hAnsi="Wingdings" w:hint="default"/>
        <w:color w:val="00529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5763FA2"/>
    <w:multiLevelType w:val="hybridMultilevel"/>
    <w:tmpl w:val="0458E7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E7F4313"/>
    <w:multiLevelType w:val="hybridMultilevel"/>
    <w:tmpl w:val="044E79A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88B49E3"/>
    <w:multiLevelType w:val="hybridMultilevel"/>
    <w:tmpl w:val="93AC9B9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A014760"/>
    <w:multiLevelType w:val="hybridMultilevel"/>
    <w:tmpl w:val="026084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A207D4A"/>
    <w:multiLevelType w:val="hybridMultilevel"/>
    <w:tmpl w:val="92E264A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930B27"/>
    <w:multiLevelType w:val="hybridMultilevel"/>
    <w:tmpl w:val="01B6F78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9"/>
  </w:num>
  <w:num w:numId="16">
    <w:abstractNumId w:val="6"/>
  </w:num>
  <w:num w:numId="17">
    <w:abstractNumId w:val="29"/>
  </w:num>
  <w:num w:numId="18">
    <w:abstractNumId w:val="16"/>
  </w:num>
  <w:num w:numId="19">
    <w:abstractNumId w:val="27"/>
  </w:num>
  <w:num w:numId="20">
    <w:abstractNumId w:val="19"/>
  </w:num>
  <w:num w:numId="21">
    <w:abstractNumId w:val="31"/>
  </w:num>
  <w:num w:numId="22">
    <w:abstractNumId w:val="28"/>
  </w:num>
  <w:num w:numId="23">
    <w:abstractNumId w:val="30"/>
  </w:num>
  <w:num w:numId="24">
    <w:abstractNumId w:val="11"/>
  </w:num>
  <w:num w:numId="25">
    <w:abstractNumId w:val="20"/>
  </w:num>
  <w:num w:numId="26">
    <w:abstractNumId w:val="22"/>
  </w:num>
  <w:num w:numId="27">
    <w:abstractNumId w:val="21"/>
  </w:num>
  <w:num w:numId="28">
    <w:abstractNumId w:val="26"/>
  </w:num>
  <w:num w:numId="29">
    <w:abstractNumId w:val="5"/>
  </w:num>
  <w:num w:numId="30">
    <w:abstractNumId w:val="15"/>
  </w:num>
  <w:num w:numId="31">
    <w:abstractNumId w:val="18"/>
  </w:num>
  <w:num w:numId="32">
    <w:abstractNumId w:val="17"/>
  </w:num>
  <w:num w:numId="33">
    <w:abstractNumId w:val="13"/>
  </w:num>
  <w:num w:numId="34">
    <w:abstractNumId w:val="23"/>
  </w:num>
  <w:num w:numId="35">
    <w:abstractNumId w:val="8"/>
  </w:num>
  <w:num w:numId="36">
    <w:abstractNumId w:val="24"/>
  </w:num>
  <w:num w:numId="37">
    <w:abstractNumId w:val="14"/>
  </w:num>
  <w:num w:numId="38">
    <w:abstractNumId w:val="25"/>
  </w:num>
  <w:num w:numId="39">
    <w:abstractNumId w:val="1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96"/>
    <w:rsid w:val="00011A7C"/>
    <w:rsid w:val="00031CEB"/>
    <w:rsid w:val="00035B9A"/>
    <w:rsid w:val="00052500"/>
    <w:rsid w:val="0006085A"/>
    <w:rsid w:val="0007490E"/>
    <w:rsid w:val="00077FF2"/>
    <w:rsid w:val="00083792"/>
    <w:rsid w:val="000849C3"/>
    <w:rsid w:val="000A540A"/>
    <w:rsid w:val="000B6FB6"/>
    <w:rsid w:val="000B7C3A"/>
    <w:rsid w:val="000C25DD"/>
    <w:rsid w:val="000C58AD"/>
    <w:rsid w:val="000F1860"/>
    <w:rsid w:val="000F3257"/>
    <w:rsid w:val="001005FB"/>
    <w:rsid w:val="0010710C"/>
    <w:rsid w:val="00107772"/>
    <w:rsid w:val="001118C2"/>
    <w:rsid w:val="001118E2"/>
    <w:rsid w:val="00131FD1"/>
    <w:rsid w:val="00136869"/>
    <w:rsid w:val="00162C48"/>
    <w:rsid w:val="00187964"/>
    <w:rsid w:val="0019152A"/>
    <w:rsid w:val="001952BB"/>
    <w:rsid w:val="001A7391"/>
    <w:rsid w:val="001C5C64"/>
    <w:rsid w:val="001C7E5C"/>
    <w:rsid w:val="001D07D0"/>
    <w:rsid w:val="001D16F8"/>
    <w:rsid w:val="001E638E"/>
    <w:rsid w:val="001F022E"/>
    <w:rsid w:val="00213147"/>
    <w:rsid w:val="00244DEB"/>
    <w:rsid w:val="0025170F"/>
    <w:rsid w:val="002533C8"/>
    <w:rsid w:val="00256D6C"/>
    <w:rsid w:val="00274486"/>
    <w:rsid w:val="002833A4"/>
    <w:rsid w:val="0029563E"/>
    <w:rsid w:val="002A1C6F"/>
    <w:rsid w:val="002A1DE2"/>
    <w:rsid w:val="002A3FDA"/>
    <w:rsid w:val="002B6DB9"/>
    <w:rsid w:val="002C125B"/>
    <w:rsid w:val="002C399F"/>
    <w:rsid w:val="002E1591"/>
    <w:rsid w:val="002E4E62"/>
    <w:rsid w:val="00301FF6"/>
    <w:rsid w:val="00303E58"/>
    <w:rsid w:val="003063B0"/>
    <w:rsid w:val="00317E83"/>
    <w:rsid w:val="00333DA7"/>
    <w:rsid w:val="00336CBD"/>
    <w:rsid w:val="0035616F"/>
    <w:rsid w:val="00363E56"/>
    <w:rsid w:val="00365C85"/>
    <w:rsid w:val="0036769C"/>
    <w:rsid w:val="00376D7D"/>
    <w:rsid w:val="00382FEC"/>
    <w:rsid w:val="00392822"/>
    <w:rsid w:val="00393AB2"/>
    <w:rsid w:val="003A1E97"/>
    <w:rsid w:val="003B5EE2"/>
    <w:rsid w:val="003C5A50"/>
    <w:rsid w:val="003E13B6"/>
    <w:rsid w:val="003E5217"/>
    <w:rsid w:val="00405445"/>
    <w:rsid w:val="004061F1"/>
    <w:rsid w:val="0040784C"/>
    <w:rsid w:val="00435555"/>
    <w:rsid w:val="00442653"/>
    <w:rsid w:val="00453E05"/>
    <w:rsid w:val="00466997"/>
    <w:rsid w:val="004714D8"/>
    <w:rsid w:val="00485188"/>
    <w:rsid w:val="004A46BC"/>
    <w:rsid w:val="004B5612"/>
    <w:rsid w:val="004B60FD"/>
    <w:rsid w:val="004B7ABD"/>
    <w:rsid w:val="004D1D5E"/>
    <w:rsid w:val="004E07B0"/>
    <w:rsid w:val="004E132C"/>
    <w:rsid w:val="004E7E34"/>
    <w:rsid w:val="004F04B7"/>
    <w:rsid w:val="004F224E"/>
    <w:rsid w:val="004F7358"/>
    <w:rsid w:val="00511AB2"/>
    <w:rsid w:val="00513436"/>
    <w:rsid w:val="005145D7"/>
    <w:rsid w:val="00520961"/>
    <w:rsid w:val="005252F2"/>
    <w:rsid w:val="00530E9C"/>
    <w:rsid w:val="0053162A"/>
    <w:rsid w:val="005559E5"/>
    <w:rsid w:val="0056318C"/>
    <w:rsid w:val="00577E7D"/>
    <w:rsid w:val="00587D5B"/>
    <w:rsid w:val="005942E9"/>
    <w:rsid w:val="005A7E7B"/>
    <w:rsid w:val="005C7536"/>
    <w:rsid w:val="005E292B"/>
    <w:rsid w:val="005E4CF9"/>
    <w:rsid w:val="005E62D6"/>
    <w:rsid w:val="005F00D6"/>
    <w:rsid w:val="005F3829"/>
    <w:rsid w:val="005F67C5"/>
    <w:rsid w:val="005F7B2A"/>
    <w:rsid w:val="00607E53"/>
    <w:rsid w:val="00640030"/>
    <w:rsid w:val="0064279E"/>
    <w:rsid w:val="00647241"/>
    <w:rsid w:val="00654485"/>
    <w:rsid w:val="00694077"/>
    <w:rsid w:val="006F49B3"/>
    <w:rsid w:val="006F6F41"/>
    <w:rsid w:val="007017E8"/>
    <w:rsid w:val="00725BD9"/>
    <w:rsid w:val="00746715"/>
    <w:rsid w:val="007477A8"/>
    <w:rsid w:val="00753883"/>
    <w:rsid w:val="00753DB8"/>
    <w:rsid w:val="00755BBD"/>
    <w:rsid w:val="007679FB"/>
    <w:rsid w:val="007709F7"/>
    <w:rsid w:val="00771F45"/>
    <w:rsid w:val="00775574"/>
    <w:rsid w:val="00783B2B"/>
    <w:rsid w:val="007C0498"/>
    <w:rsid w:val="007C3C53"/>
    <w:rsid w:val="007D1ACC"/>
    <w:rsid w:val="007D766E"/>
    <w:rsid w:val="007D7CEA"/>
    <w:rsid w:val="007F0111"/>
    <w:rsid w:val="00813F2E"/>
    <w:rsid w:val="0082297F"/>
    <w:rsid w:val="008455C7"/>
    <w:rsid w:val="00850DB5"/>
    <w:rsid w:val="00855C87"/>
    <w:rsid w:val="00857182"/>
    <w:rsid w:val="008704D5"/>
    <w:rsid w:val="00874A77"/>
    <w:rsid w:val="00875CC9"/>
    <w:rsid w:val="008A3015"/>
    <w:rsid w:val="008C2589"/>
    <w:rsid w:val="008F132E"/>
    <w:rsid w:val="008F5D53"/>
    <w:rsid w:val="00901050"/>
    <w:rsid w:val="00904B4C"/>
    <w:rsid w:val="0091317B"/>
    <w:rsid w:val="00913A7D"/>
    <w:rsid w:val="00913FDA"/>
    <w:rsid w:val="00916374"/>
    <w:rsid w:val="009315CB"/>
    <w:rsid w:val="00932459"/>
    <w:rsid w:val="009342CD"/>
    <w:rsid w:val="00935A72"/>
    <w:rsid w:val="00944B6A"/>
    <w:rsid w:val="00947DE3"/>
    <w:rsid w:val="00954DD7"/>
    <w:rsid w:val="009621FF"/>
    <w:rsid w:val="00963813"/>
    <w:rsid w:val="00967E89"/>
    <w:rsid w:val="00992026"/>
    <w:rsid w:val="00994E46"/>
    <w:rsid w:val="00997388"/>
    <w:rsid w:val="009A4480"/>
    <w:rsid w:val="009C2396"/>
    <w:rsid w:val="009D2464"/>
    <w:rsid w:val="009D43BB"/>
    <w:rsid w:val="009E37B6"/>
    <w:rsid w:val="009F4072"/>
    <w:rsid w:val="00A07BB7"/>
    <w:rsid w:val="00A137E4"/>
    <w:rsid w:val="00A24608"/>
    <w:rsid w:val="00A4064E"/>
    <w:rsid w:val="00A43C56"/>
    <w:rsid w:val="00A51B21"/>
    <w:rsid w:val="00A63D88"/>
    <w:rsid w:val="00A82A60"/>
    <w:rsid w:val="00A96A75"/>
    <w:rsid w:val="00A970A9"/>
    <w:rsid w:val="00AB5529"/>
    <w:rsid w:val="00AD7CE3"/>
    <w:rsid w:val="00AE68C5"/>
    <w:rsid w:val="00AF0E4D"/>
    <w:rsid w:val="00AF282B"/>
    <w:rsid w:val="00AF6F66"/>
    <w:rsid w:val="00B02249"/>
    <w:rsid w:val="00B10178"/>
    <w:rsid w:val="00B102C4"/>
    <w:rsid w:val="00B21DD4"/>
    <w:rsid w:val="00B40B76"/>
    <w:rsid w:val="00B525A3"/>
    <w:rsid w:val="00B611BF"/>
    <w:rsid w:val="00B61F17"/>
    <w:rsid w:val="00B63379"/>
    <w:rsid w:val="00B9069A"/>
    <w:rsid w:val="00B93121"/>
    <w:rsid w:val="00B94146"/>
    <w:rsid w:val="00B9726E"/>
    <w:rsid w:val="00B975C5"/>
    <w:rsid w:val="00BA46E4"/>
    <w:rsid w:val="00BE1929"/>
    <w:rsid w:val="00BE3E81"/>
    <w:rsid w:val="00BF020C"/>
    <w:rsid w:val="00C02206"/>
    <w:rsid w:val="00C114ED"/>
    <w:rsid w:val="00C121E1"/>
    <w:rsid w:val="00C22C11"/>
    <w:rsid w:val="00C43D30"/>
    <w:rsid w:val="00C55883"/>
    <w:rsid w:val="00C620EC"/>
    <w:rsid w:val="00C63A25"/>
    <w:rsid w:val="00C64714"/>
    <w:rsid w:val="00C65684"/>
    <w:rsid w:val="00C67CFC"/>
    <w:rsid w:val="00C67D37"/>
    <w:rsid w:val="00C91ADC"/>
    <w:rsid w:val="00CB20BA"/>
    <w:rsid w:val="00CB5F4B"/>
    <w:rsid w:val="00CB6A06"/>
    <w:rsid w:val="00CC7391"/>
    <w:rsid w:val="00CD6361"/>
    <w:rsid w:val="00CE64F3"/>
    <w:rsid w:val="00CE7976"/>
    <w:rsid w:val="00CF5985"/>
    <w:rsid w:val="00D022AC"/>
    <w:rsid w:val="00D02D32"/>
    <w:rsid w:val="00D11493"/>
    <w:rsid w:val="00D16A17"/>
    <w:rsid w:val="00D20F64"/>
    <w:rsid w:val="00D2766A"/>
    <w:rsid w:val="00D34BD5"/>
    <w:rsid w:val="00D522F6"/>
    <w:rsid w:val="00D52936"/>
    <w:rsid w:val="00D57C8A"/>
    <w:rsid w:val="00D619C9"/>
    <w:rsid w:val="00D63C7E"/>
    <w:rsid w:val="00D64B28"/>
    <w:rsid w:val="00D763F1"/>
    <w:rsid w:val="00DD7EC9"/>
    <w:rsid w:val="00DE2634"/>
    <w:rsid w:val="00DE7386"/>
    <w:rsid w:val="00DF34FB"/>
    <w:rsid w:val="00E07F6E"/>
    <w:rsid w:val="00E535D9"/>
    <w:rsid w:val="00E54C8E"/>
    <w:rsid w:val="00E654F1"/>
    <w:rsid w:val="00E73A89"/>
    <w:rsid w:val="00E868BD"/>
    <w:rsid w:val="00E90101"/>
    <w:rsid w:val="00E9405D"/>
    <w:rsid w:val="00ED575E"/>
    <w:rsid w:val="00EE4EA5"/>
    <w:rsid w:val="00EF7917"/>
    <w:rsid w:val="00F05C6C"/>
    <w:rsid w:val="00F13D2A"/>
    <w:rsid w:val="00F22836"/>
    <w:rsid w:val="00F24FEC"/>
    <w:rsid w:val="00F263C4"/>
    <w:rsid w:val="00F3413A"/>
    <w:rsid w:val="00F34D72"/>
    <w:rsid w:val="00F505AC"/>
    <w:rsid w:val="00F5373E"/>
    <w:rsid w:val="00F54398"/>
    <w:rsid w:val="00F570BC"/>
    <w:rsid w:val="00F647B8"/>
    <w:rsid w:val="00F75DE8"/>
    <w:rsid w:val="00F77108"/>
    <w:rsid w:val="00F81022"/>
    <w:rsid w:val="00F83266"/>
    <w:rsid w:val="00F84C7A"/>
    <w:rsid w:val="00F862C1"/>
    <w:rsid w:val="00F86C65"/>
    <w:rsid w:val="00FE4FFE"/>
    <w:rsid w:val="00FE75D7"/>
    <w:rsid w:val="00FF0618"/>
    <w:rsid w:val="00FF2B78"/>
    <w:rsid w:val="00FF61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3B8329"/>
  <w15:docId w15:val="{AB2FD7FA-5CFB-4267-A3DC-21164C66F71E}"/>
  <w:removePersonalInformation/>
  <w:removeDateAndTim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3413A"/>
  </w:style>
  <w:style w:type="paragraph" w:styleId="berschrift1">
    <w:name w:val="heading 1"/>
    <w:basedOn w:val="Standard"/>
    <w:next w:val="Standard"/>
    <w:autoRedefine/>
    <w:qFormat/>
    <w:pPr>
      <w:numPr>
        <w:numId w:val="11"/>
      </w:numPr>
      <w:tabs>
        <w:tab w:val="clear" w:pos="432"/>
        <w:tab w:val="num" w:pos="360"/>
      </w:tabs>
      <w:spacing w:before="240" w:after="120"/>
      <w:ind w:left="0" w:firstLine="0"/>
      <w:outlineLvl w:val="0"/>
    </w:pPr>
    <w:rPr>
      <w:rFonts w:cs="Arial"/>
      <w:b/>
      <w:bCs/>
      <w:szCs w:val="32"/>
    </w:rPr>
  </w:style>
  <w:style w:type="paragraph" w:styleId="berschrift2">
    <w:name w:val="heading 2"/>
    <w:basedOn w:val="berschrift1"/>
    <w:next w:val="Standard"/>
    <w:autoRedefine/>
    <w:qFormat/>
    <w:rsid w:val="00EE4EA5"/>
    <w:pPr>
      <w:numPr>
        <w:ilvl w:val="1"/>
        <w:numId w:val="12"/>
      </w:numPr>
      <w:tabs>
        <w:tab w:val="clear" w:pos="576"/>
        <w:tab w:val="num" w:pos="360"/>
        <w:tab w:val="left" w:pos="624"/>
      </w:tabs>
      <w:ind w:left="0" w:firstLine="0"/>
      <w:outlineLvl w:val="1"/>
    </w:pPr>
    <w:rPr>
      <w:bCs w:val="0"/>
      <w:iCs/>
      <w:sz w:val="26"/>
      <w:szCs w:val="28"/>
    </w:rPr>
  </w:style>
  <w:style w:type="paragraph" w:styleId="berschrift3">
    <w:name w:val="heading 3"/>
    <w:basedOn w:val="berschrift1"/>
    <w:next w:val="Standard"/>
    <w:autoRedefine/>
    <w:qFormat/>
    <w:rsid w:val="00EE4EA5"/>
    <w:pPr>
      <w:numPr>
        <w:ilvl w:val="2"/>
        <w:numId w:val="13"/>
      </w:numPr>
      <w:tabs>
        <w:tab w:val="clear" w:pos="720"/>
        <w:tab w:val="num" w:pos="360"/>
        <w:tab w:val="left" w:pos="794"/>
      </w:tabs>
      <w:ind w:left="0" w:firstLine="0"/>
      <w:outlineLvl w:val="2"/>
    </w:pPr>
    <w:rPr>
      <w:b w:val="0"/>
      <w:bCs w:val="0"/>
      <w:szCs w:val="26"/>
    </w:rPr>
  </w:style>
  <w:style w:type="paragraph" w:styleId="berschrift4">
    <w:name w:val="heading 4"/>
    <w:basedOn w:val="berschrift1"/>
    <w:next w:val="Standard"/>
    <w:qFormat/>
    <w:pPr>
      <w:numPr>
        <w:ilvl w:val="3"/>
        <w:numId w:val="14"/>
      </w:numPr>
      <w:tabs>
        <w:tab w:val="clear" w:pos="864"/>
        <w:tab w:val="num" w:pos="360"/>
        <w:tab w:val="left" w:pos="964"/>
      </w:tabs>
      <w:ind w:left="0" w:firstLine="0"/>
      <w:outlineLvl w:val="3"/>
    </w:pPr>
    <w:rPr>
      <w:b w:val="0"/>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pPr>
      <w:tabs>
        <w:tab w:val="center" w:pos="4536"/>
        <w:tab w:val="right" w:pos="9072"/>
      </w:tabs>
    </w:pPr>
    <w:rPr>
      <w:b/>
      <w:bCs/>
      <w:szCs w:val="20"/>
    </w:rPr>
  </w:style>
  <w:style w:type="paragraph" w:styleId="Fuzeile">
    <w:name w:val="footer"/>
    <w:basedOn w:val="Vordruck8No"/>
    <w:rsid w:val="002833A4"/>
  </w:style>
  <w:style w:type="paragraph" w:customStyle="1" w:styleId="Vordruck8No">
    <w:name w:val="Vordruck8No"/>
    <w:basedOn w:val="Vordruck8"/>
    <w:rsid w:val="00D2766A"/>
    <w:rPr>
      <w:noProof/>
    </w:rPr>
  </w:style>
  <w:style w:type="paragraph" w:customStyle="1" w:styleId="Vordruck8">
    <w:name w:val="Vordruck8"/>
    <w:basedOn w:val="Standard"/>
    <w:rsid w:val="004F7358"/>
    <w:rPr>
      <w:sz w:val="16"/>
    </w:rPr>
  </w:style>
  <w:style w:type="paragraph" w:styleId="Kopfzeile">
    <w:name w:val="header"/>
    <w:basedOn w:val="Vordruck8No"/>
    <w:pPr>
      <w:tabs>
        <w:tab w:val="center" w:pos="4536"/>
        <w:tab w:val="right" w:pos="9072"/>
      </w:tabs>
    </w:pPr>
  </w:style>
  <w:style w:type="paragraph" w:customStyle="1" w:styleId="StandardNo">
    <w:name w:val="StandardNo"/>
    <w:basedOn w:val="Standard"/>
    <w:rsid w:val="002833A4"/>
    <w:rPr>
      <w:noProof/>
    </w:rPr>
  </w:style>
  <w:style w:type="paragraph" w:styleId="Verzeichnis1">
    <w:name w:val="toc 1"/>
    <w:basedOn w:val="Standard"/>
    <w:next w:val="Standard"/>
    <w:autoRedefine/>
    <w:semiHidden/>
    <w:pPr>
      <w:spacing w:before="120"/>
      <w:ind w:left="1134" w:hanging="1134"/>
    </w:pPr>
    <w:rPr>
      <w:b/>
    </w:rPr>
  </w:style>
  <w:style w:type="paragraph" w:styleId="Verzeichnis2">
    <w:name w:val="toc 2"/>
    <w:basedOn w:val="Standard"/>
    <w:next w:val="Standard"/>
    <w:autoRedefine/>
    <w:semiHidden/>
    <w:pPr>
      <w:ind w:left="1134" w:hanging="1134"/>
    </w:pPr>
  </w:style>
  <w:style w:type="paragraph" w:styleId="Verzeichnis3">
    <w:name w:val="toc 3"/>
    <w:basedOn w:val="Standard"/>
    <w:next w:val="Standard"/>
    <w:autoRedefine/>
    <w:semiHidden/>
    <w:pPr>
      <w:ind w:left="1134" w:hanging="1134"/>
    </w:pPr>
  </w:style>
  <w:style w:type="paragraph" w:styleId="Verzeichnis4">
    <w:name w:val="toc 4"/>
    <w:basedOn w:val="Standard"/>
    <w:next w:val="Standard"/>
    <w:autoRedefine/>
    <w:semiHidden/>
    <w:pPr>
      <w:ind w:left="1134" w:hanging="1134"/>
    </w:pPr>
  </w:style>
  <w:style w:type="paragraph" w:customStyle="1" w:styleId="Vordruck80">
    <w:name w:val="Vordruck 8"/>
    <w:basedOn w:val="Standard"/>
    <w:rsid w:val="001118E2"/>
    <w:rPr>
      <w:sz w:val="16"/>
    </w:rPr>
  </w:style>
  <w:style w:type="paragraph" w:customStyle="1" w:styleId="Vordruck8No0">
    <w:name w:val="Vordruck 8 No"/>
    <w:basedOn w:val="Standard"/>
    <w:rsid w:val="001118E2"/>
    <w:rPr>
      <w:noProof/>
      <w:sz w:val="16"/>
      <w:lang w:val="de-DE"/>
    </w:rPr>
  </w:style>
  <w:style w:type="paragraph" w:styleId="Sprechblasentext">
    <w:name w:val="Balloon Text"/>
    <w:basedOn w:val="Standard"/>
    <w:link w:val="SprechblasentextZchn"/>
    <w:rsid w:val="002B6DB9"/>
    <w:rPr>
      <w:rFonts w:ascii="Tahoma" w:hAnsi="Tahoma" w:cs="Tahoma"/>
      <w:sz w:val="16"/>
      <w:szCs w:val="16"/>
    </w:rPr>
  </w:style>
  <w:style w:type="character" w:customStyle="1" w:styleId="SprechblasentextZchn">
    <w:name w:val="Sprechblasentext Zchn"/>
    <w:basedOn w:val="Absatz-Standardschriftart"/>
    <w:link w:val="Sprechblasentext"/>
    <w:rsid w:val="002B6DB9"/>
    <w:rPr>
      <w:rFonts w:ascii="Tahoma" w:hAnsi="Tahoma" w:cs="Tahoma"/>
      <w:sz w:val="16"/>
      <w:szCs w:val="16"/>
      <w:lang w:eastAsia="de-DE"/>
    </w:rPr>
  </w:style>
  <w:style w:type="paragraph" w:styleId="Untertitel">
    <w:name w:val="Subtitle"/>
    <w:basedOn w:val="Standard"/>
    <w:next w:val="Standard"/>
    <w:link w:val="UntertitelZchn"/>
    <w:rsid w:val="002A3FDA"/>
    <w:pPr>
      <w:spacing w:after="60"/>
      <w:jc w:val="center"/>
      <w:outlineLvl w:val="1"/>
    </w:pPr>
    <w:rPr>
      <w:rFonts w:asciiTheme="majorHAnsi" w:eastAsiaTheme="majorEastAsia" w:hAnsiTheme="majorHAnsi" w:cstheme="majorBidi"/>
      <w:sz w:val="24"/>
    </w:rPr>
  </w:style>
  <w:style w:type="character" w:customStyle="1" w:styleId="UntertitelZchn">
    <w:name w:val="Untertitel Zchn"/>
    <w:basedOn w:val="Absatz-Standardschriftart"/>
    <w:link w:val="Untertitel"/>
    <w:rsid w:val="002A3FDA"/>
    <w:rPr>
      <w:rFonts w:asciiTheme="majorHAnsi" w:eastAsiaTheme="majorEastAsia" w:hAnsiTheme="majorHAnsi" w:cstheme="majorBidi"/>
      <w:sz w:val="24"/>
      <w:szCs w:val="24"/>
      <w:lang w:eastAsia="de-DE"/>
    </w:rPr>
  </w:style>
  <w:style w:type="character" w:styleId="Hervorhebung">
    <w:name w:val="Emphasis"/>
    <w:basedOn w:val="Absatz-Standardschriftart"/>
    <w:qFormat/>
    <w:rsid w:val="002A3FDA"/>
    <w:rPr>
      <w:i/>
      <w:iCs/>
    </w:rPr>
  </w:style>
  <w:style w:type="character" w:styleId="Fett">
    <w:name w:val="Strong"/>
    <w:basedOn w:val="Absatz-Standardschriftart"/>
    <w:qFormat/>
    <w:rsid w:val="002A3FDA"/>
    <w:rPr>
      <w:b/>
      <w:bCs/>
    </w:rPr>
  </w:style>
  <w:style w:type="paragraph" w:customStyle="1" w:styleId="Ansprechpartner">
    <w:name w:val="Ansprechpartner"/>
    <w:basedOn w:val="Vordruck8No0"/>
    <w:qFormat/>
    <w:rsid w:val="002A3FDA"/>
    <w:rPr>
      <w:sz w:val="18"/>
      <w:szCs w:val="18"/>
      <w:lang w:val="de-CH"/>
    </w:rPr>
  </w:style>
  <w:style w:type="paragraph" w:styleId="Titel">
    <w:name w:val="Title"/>
    <w:basedOn w:val="Standard"/>
    <w:next w:val="Standard"/>
    <w:link w:val="TitelZchn"/>
    <w:autoRedefine/>
    <w:qFormat/>
    <w:rsid w:val="00F263C4"/>
    <w:pPr>
      <w:spacing w:before="240" w:after="60"/>
      <w:outlineLvl w:val="0"/>
    </w:pPr>
    <w:rPr>
      <w:rFonts w:eastAsiaTheme="majorEastAsia" w:cstheme="majorBidi"/>
      <w:b/>
      <w:bCs/>
      <w:kern w:val="28"/>
      <w:sz w:val="30"/>
      <w:szCs w:val="32"/>
    </w:rPr>
  </w:style>
  <w:style w:type="character" w:customStyle="1" w:styleId="TitelZchn">
    <w:name w:val="Titel Zchn"/>
    <w:basedOn w:val="Absatz-Standardschriftart"/>
    <w:link w:val="Titel"/>
    <w:rsid w:val="00F263C4"/>
    <w:rPr>
      <w:rFonts w:ascii="Arial" w:eastAsiaTheme="majorEastAsia" w:hAnsi="Arial" w:cstheme="majorBidi"/>
      <w:b/>
      <w:bCs/>
      <w:kern w:val="28"/>
      <w:sz w:val="30"/>
      <w:szCs w:val="32"/>
      <w:lang w:eastAsia="de-DE"/>
    </w:rPr>
  </w:style>
  <w:style w:type="paragraph" w:styleId="Listenabsatz">
    <w:name w:val="List Paragraph"/>
    <w:basedOn w:val="Standard"/>
    <w:uiPriority w:val="34"/>
    <w:rsid w:val="00E90101"/>
    <w:pPr>
      <w:ind w:left="720"/>
      <w:contextualSpacing/>
    </w:pPr>
  </w:style>
  <w:style w:type="paragraph" w:customStyle="1" w:styleId="KeinAbsatzformat">
    <w:name w:val="[Kein Absatzformat]"/>
    <w:rsid w:val="009C2396"/>
    <w:pPr>
      <w:autoSpaceDE w:val="0"/>
      <w:autoSpaceDN w:val="0"/>
      <w:adjustRightInd w:val="0"/>
      <w:spacing w:line="288" w:lineRule="auto"/>
      <w:textAlignment w:val="center"/>
    </w:pPr>
    <w:rPr>
      <w:rFonts w:ascii="Bulo Bold" w:hAnsi="Bulo Bold"/>
      <w:color w:val="000000"/>
      <w:sz w:val="24"/>
      <w:szCs w:val="24"/>
      <w:lang w:val="de-DE"/>
    </w:rPr>
  </w:style>
  <w:style w:type="paragraph" w:customStyle="1" w:styleId="tabellegt">
    <w:name w:val="tabelle_gt"/>
    <w:basedOn w:val="KeinAbsatzformat"/>
    <w:uiPriority w:val="99"/>
    <w:rsid w:val="009C2396"/>
    <w:rPr>
      <w:rFonts w:ascii="Bulo Regular" w:hAnsi="Bulo Regular" w:cs="Bulo Regular"/>
      <w:sz w:val="18"/>
      <w:szCs w:val="18"/>
    </w:rPr>
  </w:style>
  <w:style w:type="paragraph" w:customStyle="1" w:styleId="tabelletitel">
    <w:name w:val="tabelle titel"/>
    <w:basedOn w:val="tabellegt"/>
    <w:uiPriority w:val="99"/>
    <w:rsid w:val="009C2396"/>
    <w:rPr>
      <w:rFonts w:ascii="Bulo Bold" w:hAnsi="Bulo Bold" w:cs="Bulo Bold"/>
      <w:b/>
      <w:bCs/>
      <w:color w:val="FFFFFF"/>
    </w:rPr>
  </w:style>
  <w:style w:type="paragraph" w:customStyle="1" w:styleId="tabelleUntertitel">
    <w:name w:val="tabelle_Untertitel"/>
    <w:basedOn w:val="tabellegt"/>
    <w:uiPriority w:val="99"/>
    <w:rsid w:val="009C2396"/>
    <w:rPr>
      <w:rFonts w:ascii="Bulo Bold" w:hAnsi="Bulo Bold" w:cs="Bulo Bold"/>
      <w:b/>
      <w:bCs/>
    </w:rPr>
  </w:style>
  <w:style w:type="paragraph" w:customStyle="1" w:styleId="tabelleliste">
    <w:name w:val="tabelle_liste"/>
    <w:basedOn w:val="tabellegt"/>
    <w:uiPriority w:val="99"/>
    <w:rsid w:val="009C2396"/>
    <w:pPr>
      <w:tabs>
        <w:tab w:val="left" w:pos="340"/>
      </w:tabs>
      <w:ind w:left="340" w:hanging="340"/>
      <w:jc w:val="both"/>
    </w:pPr>
  </w:style>
  <w:style w:type="character" w:customStyle="1" w:styleId="bold">
    <w:name w:val="bold"/>
    <w:uiPriority w:val="99"/>
    <w:rsid w:val="009C2396"/>
    <w:rPr>
      <w:rFonts w:ascii="TheMix B7 Bold" w:hAnsi="TheMix B7 Bold" w:cs="TheMix B7 Bold"/>
      <w:b/>
      <w:bCs/>
    </w:rPr>
  </w:style>
  <w:style w:type="character" w:customStyle="1" w:styleId="ExpertBold">
    <w:name w:val="Expert_Bold"/>
    <w:basedOn w:val="bold"/>
    <w:uiPriority w:val="99"/>
    <w:rsid w:val="009C2396"/>
    <w:rPr>
      <w:rFonts w:ascii="TheMix B7 Bold" w:hAnsi="TheMix B7 Bold" w:cs="TheMix B7 Bold"/>
      <w:b/>
      <w:bCs/>
    </w:rPr>
  </w:style>
  <w:style w:type="character" w:customStyle="1" w:styleId="ExpertLight">
    <w:name w:val="Expert_Light"/>
    <w:uiPriority w:val="99"/>
    <w:rsid w:val="009C2396"/>
    <w:rPr>
      <w:color w:val="FFFFFF"/>
    </w:rPr>
  </w:style>
  <w:style w:type="character" w:customStyle="1" w:styleId="ExpertGrundschrift">
    <w:name w:val="Expert_Grundschrift"/>
    <w:uiPriority w:val="99"/>
    <w:rsid w:val="009C2396"/>
  </w:style>
  <w:style w:type="paragraph" w:customStyle="1" w:styleId="TitelseiteHaupttitel">
    <w:name w:val="Titelseite Haupttitel"/>
    <w:basedOn w:val="KeinAbsatzformat"/>
    <w:uiPriority w:val="99"/>
    <w:rsid w:val="009C2396"/>
    <w:rPr>
      <w:rFonts w:ascii="Bulo Light" w:hAnsi="Bulo Light" w:cs="Bulo Light"/>
      <w:color w:val="005496"/>
      <w:spacing w:val="8"/>
      <w:position w:val="6"/>
      <w:sz w:val="84"/>
      <w:szCs w:val="84"/>
      <w:lang w:val="de-CH"/>
    </w:rPr>
  </w:style>
  <w:style w:type="paragraph" w:customStyle="1" w:styleId="TitelseiteUntertitel">
    <w:name w:val="Titelseite Untertitel"/>
    <w:basedOn w:val="KeinAbsatzformat"/>
    <w:uiPriority w:val="99"/>
    <w:rsid w:val="009C2396"/>
    <w:pPr>
      <w:spacing w:line="260" w:lineRule="atLeast"/>
      <w:ind w:right="850"/>
    </w:pPr>
    <w:rPr>
      <w:rFonts w:cs="Bulo Bold"/>
      <w:b/>
      <w:bCs/>
      <w:color w:val="005496"/>
      <w:sz w:val="20"/>
      <w:szCs w:val="20"/>
    </w:rPr>
  </w:style>
  <w:style w:type="character" w:styleId="Kommentarzeichen">
    <w:name w:val="annotation reference"/>
    <w:basedOn w:val="Absatz-Standardschriftart"/>
    <w:rsid w:val="009315CB"/>
    <w:rPr>
      <w:sz w:val="16"/>
      <w:szCs w:val="16"/>
    </w:rPr>
  </w:style>
  <w:style w:type="paragraph" w:styleId="Kommentartext">
    <w:name w:val="annotation text"/>
    <w:basedOn w:val="Standard"/>
    <w:link w:val="KommentartextZchn"/>
    <w:rsid w:val="009315CB"/>
    <w:rPr>
      <w:sz w:val="20"/>
      <w:szCs w:val="20"/>
    </w:rPr>
  </w:style>
  <w:style w:type="character" w:customStyle="1" w:styleId="KommentartextZchn">
    <w:name w:val="Kommentartext Zchn"/>
    <w:basedOn w:val="Absatz-Standardschriftart"/>
    <w:link w:val="Kommentartext"/>
    <w:rsid w:val="009315CB"/>
    <w:rPr>
      <w:sz w:val="20"/>
      <w:szCs w:val="20"/>
    </w:rPr>
  </w:style>
  <w:style w:type="paragraph" w:styleId="Kommentarthema">
    <w:name w:val="annotation subject"/>
    <w:basedOn w:val="Kommentartext"/>
    <w:next w:val="Kommentartext"/>
    <w:link w:val="KommentarthemaZchn"/>
    <w:rsid w:val="009315CB"/>
    <w:rPr>
      <w:b/>
      <w:bCs/>
    </w:rPr>
  </w:style>
  <w:style w:type="character" w:customStyle="1" w:styleId="KommentarthemaZchn">
    <w:name w:val="Kommentarthema Zchn"/>
    <w:basedOn w:val="KommentartextZchn"/>
    <w:link w:val="Kommentarthema"/>
    <w:rsid w:val="009315CB"/>
    <w:rPr>
      <w:b/>
      <w:bCs/>
      <w:sz w:val="20"/>
      <w:szCs w:val="20"/>
    </w:rPr>
  </w:style>
  <w:style w:type="paragraph" w:styleId="Funotentext">
    <w:name w:val="footnote text"/>
    <w:basedOn w:val="Standard"/>
    <w:link w:val="FunotentextZchn"/>
    <w:rsid w:val="00994E46"/>
    <w:rPr>
      <w:sz w:val="20"/>
      <w:szCs w:val="20"/>
      <w:lang w:val="de-DE" w:eastAsia="de-DE"/>
    </w:rPr>
  </w:style>
  <w:style w:type="character" w:customStyle="1" w:styleId="FunotentextZchn">
    <w:name w:val="Fußnotentext Zchn"/>
    <w:basedOn w:val="Absatz-Standardschriftart"/>
    <w:link w:val="Funotentext"/>
    <w:rsid w:val="00994E46"/>
    <w:rPr>
      <w:sz w:val="20"/>
      <w:szCs w:val="20"/>
      <w:lang w:val="de-DE" w:eastAsia="de-DE"/>
    </w:rPr>
  </w:style>
  <w:style w:type="character" w:styleId="Funotenzeichen">
    <w:name w:val="footnote reference"/>
    <w:rsid w:val="00994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&#65279;<?xml version="1.0" encoding="UTF-8" standalone="yes"?>
<Relationships xmlns="http://schemas.openxmlformats.org/package/2006/relationships"></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16</Pages>
  <Words>4079</Words>
  <Characters>25704</Characters>
  <DocSecurity>0</DocSecurity>
  <Lines>214</Lines>
  <Paragraphs>59</Paragraphs>
  <ScaleCrop>false</ScaleCrop>
  <HeadingPairs>
    <vt:vector size="2" baseType="variant">
      <vt:variant>
        <vt:lpstr>Titel</vt:lpstr>
      </vt:variant>
      <vt:variant>
        <vt:i4>1</vt:i4>
      </vt:variant>
    </vt:vector>
  </HeadingPairs>
  <LinksUpToDate>false</LinksUpToDate>
  <CharactersWithSpaces>29724</CharactersWithSpaces>
  <SharedDoc>false</SharedDoc>
  <HyperlinksChanged>false</HyperlinksChanged>
</Properties>
</file>